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4E1" w:rsidRPr="00E42755" w:rsidRDefault="007844E1" w:rsidP="007844E1">
      <w:pPr>
        <w:widowControl w:val="0"/>
        <w:spacing w:before="100" w:beforeAutospacing="1" w:after="100" w:afterAutospacing="1" w:line="360" w:lineRule="auto"/>
        <w:ind w:right="-164"/>
        <w:jc w:val="both"/>
        <w:rPr>
          <w:rFonts w:ascii="Palatino Linotype" w:eastAsia="Calibri" w:hAnsi="Palatino Linotype" w:cs="Arial"/>
          <w:b/>
          <w:color w:val="000000"/>
        </w:rPr>
      </w:pPr>
      <w:r>
        <w:rPr>
          <w:rFonts w:ascii="Palatino Linotype" w:hAnsi="Palatino Linotype" w:cs="Arial"/>
          <w:b/>
        </w:rPr>
        <w:t>OPINIÓN</w:t>
      </w:r>
      <w:r w:rsidRPr="0007653D">
        <w:rPr>
          <w:rFonts w:ascii="Palatino Linotype" w:hAnsi="Palatino Linotype" w:cs="Arial"/>
          <w:b/>
        </w:rPr>
        <w:t xml:space="preserve"> PARTICULAR QUE FORMULA LA COMISIONADA EVA ABAID YAPUR, EN RELACIÓN CON LA RESOLUCIÓN DICTADA POR EL PLENO DEL INSTITUTO DE TRANSPARENCIA, ACCESO A LA INFORMACIÓN PÚBLICA Y PROTECCIÓN DE DATOS PERSONALES DEL ESTADO DE MÉXICO Y MUNICIPIOS, EN LA </w:t>
      </w:r>
      <w:r>
        <w:rPr>
          <w:rFonts w:ascii="Palatino Linotype" w:hAnsi="Palatino Linotype" w:cs="Arial"/>
          <w:b/>
        </w:rPr>
        <w:t xml:space="preserve">CUADRAGÉSIMA CUARTA </w:t>
      </w:r>
      <w:r w:rsidRPr="0007653D">
        <w:rPr>
          <w:rFonts w:ascii="Palatino Linotype" w:hAnsi="Palatino Linotype" w:cs="Arial"/>
          <w:b/>
        </w:rPr>
        <w:t xml:space="preserve">SESIÓN ORDINARIA DE </w:t>
      </w:r>
      <w:r>
        <w:rPr>
          <w:rFonts w:ascii="Palatino Linotype" w:hAnsi="Palatino Linotype" w:cs="Arial"/>
          <w:b/>
        </w:rPr>
        <w:t>VEINTIOCHO DE NOVIEMBRE DE DOS MIL DIECIOCHO</w:t>
      </w:r>
      <w:r w:rsidRPr="0007653D">
        <w:rPr>
          <w:rFonts w:ascii="Palatino Linotype" w:hAnsi="Palatino Linotype" w:cs="Arial"/>
          <w:b/>
        </w:rPr>
        <w:t>, EN EL RECURSO DE REVISIÓN 0</w:t>
      </w:r>
      <w:r>
        <w:rPr>
          <w:rFonts w:ascii="Palatino Linotype" w:hAnsi="Palatino Linotype" w:cs="Arial"/>
          <w:b/>
        </w:rPr>
        <w:t>3583/INFOEM/IP/RR/2018</w:t>
      </w:r>
      <w:r w:rsidRPr="00E42755">
        <w:rPr>
          <w:rFonts w:ascii="Palatino Linotype" w:eastAsia="Calibri" w:hAnsi="Palatino Linotype" w:cs="Arial"/>
          <w:b/>
          <w:color w:val="000000"/>
        </w:rPr>
        <w:t>.</w:t>
      </w:r>
    </w:p>
    <w:p w:rsidR="007844E1" w:rsidRPr="00E42755" w:rsidRDefault="007844E1" w:rsidP="007844E1">
      <w:pPr>
        <w:spacing w:before="100" w:beforeAutospacing="1" w:after="100" w:afterAutospacing="1" w:line="360" w:lineRule="auto"/>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del Reglamento Interior del Instituto de Transparencia, Acceso a la Información Pública y Protección de Datos Personales del Estado de México y Municipios, la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Pr>
          <w:rFonts w:ascii="Palatino Linotype" w:hAnsi="Palatino Linotype" w:cs="Arial"/>
          <w:b/>
        </w:rPr>
        <w:t>OPINIÓN</w:t>
      </w:r>
      <w:r w:rsidRPr="00E42755">
        <w:rPr>
          <w:rFonts w:ascii="Palatino Linotype" w:hAnsi="Palatino Linotype" w:cs="Arial"/>
          <w:b/>
        </w:rPr>
        <w:t xml:space="preserve"> PARTICULAR </w:t>
      </w:r>
      <w:r w:rsidRPr="00E42755">
        <w:rPr>
          <w:rFonts w:ascii="Palatino Linotype" w:hAnsi="Palatino Linotype" w:cs="Arial"/>
        </w:rPr>
        <w:t xml:space="preserve">respecto de la resolución dictada en el recurso de revisión </w:t>
      </w:r>
      <w:r w:rsidRPr="00E42755">
        <w:rPr>
          <w:rFonts w:ascii="Palatino Linotype" w:eastAsia="Calibri" w:hAnsi="Palatino Linotype" w:cs="Arial"/>
          <w:b/>
          <w:color w:val="000000"/>
        </w:rPr>
        <w:t>0</w:t>
      </w:r>
      <w:r>
        <w:rPr>
          <w:rFonts w:ascii="Palatino Linotype" w:eastAsia="Calibri" w:hAnsi="Palatino Linotype" w:cs="Arial"/>
          <w:b/>
          <w:color w:val="000000"/>
        </w:rPr>
        <w:t>3583/</w:t>
      </w:r>
      <w:r w:rsidRPr="00E42755">
        <w:rPr>
          <w:rFonts w:ascii="Palatino Linotype" w:eastAsia="Calibri" w:hAnsi="Palatino Linotype" w:cs="Arial"/>
          <w:b/>
          <w:color w:val="000000"/>
        </w:rPr>
        <w:t>INFOEM/IP/RR/201</w:t>
      </w:r>
      <w:r>
        <w:rPr>
          <w:rFonts w:ascii="Palatino Linotype" w:eastAsia="Calibri" w:hAnsi="Palatino Linotype" w:cs="Arial"/>
          <w:b/>
          <w:color w:val="000000"/>
        </w:rPr>
        <w:t>8</w:t>
      </w:r>
      <w:r w:rsidRPr="00E42755">
        <w:rPr>
          <w:rFonts w:ascii="Palatino Linotype" w:hAnsi="Palatino Linotype" w:cs="Arial"/>
        </w:rPr>
        <w:t xml:space="preserve">, pronunciada por el Pleno de este Instituto ante el proyecto presentado por </w:t>
      </w:r>
      <w:r>
        <w:rPr>
          <w:rFonts w:ascii="Palatino Linotype" w:hAnsi="Palatino Linotype" w:cs="Arial"/>
        </w:rPr>
        <w:t>el</w:t>
      </w:r>
      <w:r w:rsidRPr="00E42755">
        <w:rPr>
          <w:rFonts w:ascii="Palatino Linotype" w:hAnsi="Palatino Linotype" w:cs="Arial"/>
        </w:rPr>
        <w:t xml:space="preserve"> Comisionad</w:t>
      </w:r>
      <w:r>
        <w:rPr>
          <w:rFonts w:ascii="Palatino Linotype" w:hAnsi="Palatino Linotype" w:cs="Arial"/>
        </w:rPr>
        <w:t xml:space="preserve">o </w:t>
      </w:r>
      <w:r>
        <w:rPr>
          <w:rFonts w:ascii="Palatino Linotype" w:hAnsi="Palatino Linotype" w:cs="Arial"/>
          <w:b/>
        </w:rPr>
        <w:t>JOSÉ GUADALUPE LUNA HERNÁNDEZ</w:t>
      </w:r>
      <w:r w:rsidRPr="0007653D">
        <w:rPr>
          <w:rFonts w:ascii="Palatino Linotype" w:hAnsi="Palatino Linotype" w:cs="Arial"/>
        </w:rPr>
        <w:t xml:space="preserve">, </w:t>
      </w:r>
      <w:r>
        <w:rPr>
          <w:rFonts w:ascii="Palatino Linotype" w:hAnsi="Palatino Linotype" w:cs="Arial"/>
        </w:rPr>
        <w:t>que es del tenor siguiente.</w:t>
      </w:r>
    </w:p>
    <w:p w:rsidR="007844E1" w:rsidRDefault="007844E1" w:rsidP="007844E1">
      <w:pPr>
        <w:spacing w:before="100" w:beforeAutospacing="1" w:after="100" w:afterAutospacing="1" w:line="360" w:lineRule="auto"/>
        <w:jc w:val="both"/>
        <w:rPr>
          <w:rFonts w:ascii="Palatino Linotype" w:hAnsi="Palatino Linotype"/>
        </w:rPr>
      </w:pPr>
      <w:r w:rsidRPr="00D93A88">
        <w:rPr>
          <w:rFonts w:ascii="Palatino Linotype" w:hAnsi="Palatino Linotype"/>
        </w:rPr>
        <w:t>Es de destacar,</w:t>
      </w:r>
      <w:r>
        <w:rPr>
          <w:rFonts w:ascii="Palatino Linotype" w:hAnsi="Palatino Linotype"/>
        </w:rPr>
        <w:t xml:space="preserve"> que la suscrita</w:t>
      </w:r>
      <w:r w:rsidRPr="00D93A88">
        <w:rPr>
          <w:rFonts w:ascii="Palatino Linotype" w:hAnsi="Palatino Linotype"/>
        </w:rPr>
        <w:t xml:space="preserve"> compart</w:t>
      </w:r>
      <w:r>
        <w:rPr>
          <w:rFonts w:ascii="Palatino Linotype" w:hAnsi="Palatino Linotype"/>
        </w:rPr>
        <w:t xml:space="preserve">e el sentido de la resolución del </w:t>
      </w:r>
      <w:r w:rsidRPr="00D93A88">
        <w:rPr>
          <w:rFonts w:ascii="Palatino Linotype" w:hAnsi="Palatino Linotype"/>
        </w:rPr>
        <w:t>recurso de revis</w:t>
      </w:r>
      <w:r>
        <w:rPr>
          <w:rFonts w:ascii="Palatino Linotype" w:hAnsi="Palatino Linotype"/>
        </w:rPr>
        <w:t>ión; empero, estimo</w:t>
      </w:r>
      <w:r w:rsidRPr="00D93A88">
        <w:rPr>
          <w:rFonts w:ascii="Palatino Linotype" w:hAnsi="Palatino Linotype"/>
        </w:rPr>
        <w:t xml:space="preserve"> necesario precisar algunas consideraciones de hecho y de derecho</w:t>
      </w:r>
      <w:r>
        <w:rPr>
          <w:rFonts w:ascii="Palatino Linotype" w:hAnsi="Palatino Linotype"/>
        </w:rPr>
        <w:t>, tocante a parte de la información de la que se ordena la entrega.</w:t>
      </w:r>
    </w:p>
    <w:p w:rsidR="004E456A" w:rsidRDefault="007844E1" w:rsidP="007844E1">
      <w:pPr>
        <w:spacing w:before="100" w:beforeAutospacing="1" w:after="100" w:afterAutospacing="1" w:line="360" w:lineRule="auto"/>
        <w:jc w:val="both"/>
        <w:rPr>
          <w:rFonts w:ascii="Palatino Linotype" w:hAnsi="Palatino Linotype"/>
        </w:rPr>
      </w:pPr>
      <w:r>
        <w:rPr>
          <w:rFonts w:ascii="Palatino Linotype" w:hAnsi="Palatino Linotype"/>
        </w:rPr>
        <w:t>Al respecto, t</w:t>
      </w:r>
      <w:r w:rsidRPr="00D93A88">
        <w:rPr>
          <w:rFonts w:ascii="Palatino Linotype" w:hAnsi="Palatino Linotype"/>
        </w:rPr>
        <w:t>al y como quedó debidamente asentado en la resoluci</w:t>
      </w:r>
      <w:r>
        <w:rPr>
          <w:rFonts w:ascii="Palatino Linotype" w:hAnsi="Palatino Linotype"/>
        </w:rPr>
        <w:t>ón materia de la presente opinión, el</w:t>
      </w:r>
      <w:r w:rsidRPr="00D93A88">
        <w:rPr>
          <w:rFonts w:ascii="Palatino Linotype" w:hAnsi="Palatino Linotype"/>
        </w:rPr>
        <w:t xml:space="preserve"> particular </w:t>
      </w:r>
      <w:r>
        <w:rPr>
          <w:rFonts w:ascii="Palatino Linotype" w:hAnsi="Palatino Linotype"/>
        </w:rPr>
        <w:t xml:space="preserve">requirió de la </w:t>
      </w:r>
      <w:r w:rsidR="004E456A" w:rsidRPr="00A22FC3">
        <w:rPr>
          <w:rFonts w:ascii="Palatino Linotype" w:eastAsia="MS Mincho" w:hAnsi="Palatino Linotype" w:cs="Arial"/>
          <w:b/>
          <w:lang w:val="es-ES_tradnl"/>
        </w:rPr>
        <w:t>Universidad Politécnica del Valle de Toluca</w:t>
      </w:r>
      <w:r>
        <w:rPr>
          <w:rFonts w:ascii="Palatino Linotype" w:hAnsi="Palatino Linotype"/>
        </w:rPr>
        <w:t xml:space="preserve">, </w:t>
      </w:r>
      <w:r>
        <w:rPr>
          <w:rFonts w:ascii="Palatino Linotype" w:hAnsi="Palatino Linotype" w:cs="Arial"/>
        </w:rPr>
        <w:t xml:space="preserve">en lo sucesivo </w:t>
      </w:r>
      <w:r>
        <w:rPr>
          <w:rFonts w:ascii="Palatino Linotype" w:hAnsi="Palatino Linotype"/>
          <w:b/>
        </w:rPr>
        <w:t>EL S</w:t>
      </w:r>
      <w:r w:rsidRPr="008C0700">
        <w:rPr>
          <w:rFonts w:ascii="Palatino Linotype" w:hAnsi="Palatino Linotype"/>
          <w:b/>
        </w:rPr>
        <w:t>UJETO OBLIGADO</w:t>
      </w:r>
      <w:r>
        <w:rPr>
          <w:rFonts w:ascii="Palatino Linotype" w:hAnsi="Palatino Linotype"/>
          <w:b/>
        </w:rPr>
        <w:t>,</w:t>
      </w:r>
      <w:r>
        <w:rPr>
          <w:rFonts w:ascii="Palatino Linotype" w:hAnsi="Palatino Linotype"/>
        </w:rPr>
        <w:t xml:space="preserve"> </w:t>
      </w:r>
      <w:r w:rsidR="004E456A">
        <w:rPr>
          <w:rFonts w:ascii="Palatino Linotype" w:hAnsi="Palatino Linotype"/>
        </w:rPr>
        <w:t xml:space="preserve">el listado de los servidores públicos </w:t>
      </w:r>
      <w:r w:rsidR="004E456A">
        <w:rPr>
          <w:rFonts w:ascii="Palatino Linotype" w:hAnsi="Palatino Linotype"/>
        </w:rPr>
        <w:lastRenderedPageBreak/>
        <w:t>dados de baja ante el Instituto de Seguridad Social del Estado de México y Municipios en 2018, indicando el motivo de la separación laboral.</w:t>
      </w:r>
    </w:p>
    <w:p w:rsidR="002767E6" w:rsidRDefault="007844E1" w:rsidP="007844E1">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Del expediente electrónico del </w:t>
      </w:r>
      <w:r w:rsidRPr="00D87598">
        <w:rPr>
          <w:rFonts w:ascii="Palatino Linotype" w:hAnsi="Palatino Linotype" w:cs="Arial"/>
        </w:rPr>
        <w:t>Sistema de Acceso a la Información Mexiquens</w:t>
      </w:r>
      <w:r>
        <w:rPr>
          <w:rFonts w:ascii="Palatino Linotype" w:hAnsi="Palatino Linotype" w:cs="Arial"/>
        </w:rPr>
        <w:t xml:space="preserve">e, </w:t>
      </w:r>
      <w:r w:rsidRPr="00674996">
        <w:rPr>
          <w:rFonts w:ascii="Palatino Linotype" w:hAnsi="Palatino Linotype" w:cs="Arial"/>
          <w:b/>
        </w:rPr>
        <w:t>SAIMEX</w:t>
      </w:r>
      <w:r>
        <w:rPr>
          <w:rFonts w:ascii="Palatino Linotype" w:hAnsi="Palatino Linotype" w:cs="Arial"/>
          <w:b/>
        </w:rPr>
        <w:t xml:space="preserve">, </w:t>
      </w:r>
      <w:r>
        <w:rPr>
          <w:rFonts w:ascii="Palatino Linotype" w:hAnsi="Palatino Linotype" w:cs="Arial"/>
        </w:rPr>
        <w:t xml:space="preserve">se advierte que </w:t>
      </w:r>
      <w:r w:rsidRPr="00B57FE6">
        <w:rPr>
          <w:rFonts w:ascii="Palatino Linotype" w:hAnsi="Palatino Linotype" w:cs="Arial"/>
          <w:b/>
        </w:rPr>
        <w:t>EL SUJETO OBLIGADO</w:t>
      </w:r>
      <w:r w:rsidRPr="00AD7F4F">
        <w:rPr>
          <w:rFonts w:ascii="Palatino Linotype" w:hAnsi="Palatino Linotype" w:cs="Arial"/>
        </w:rPr>
        <w:t xml:space="preserve">, </w:t>
      </w:r>
      <w:r>
        <w:rPr>
          <w:rFonts w:ascii="Palatino Linotype" w:hAnsi="Palatino Linotype" w:cs="Arial"/>
        </w:rPr>
        <w:t>en respuesta manifestó que</w:t>
      </w:r>
      <w:r w:rsidR="002767E6">
        <w:rPr>
          <w:rFonts w:ascii="Palatino Linotype" w:hAnsi="Palatino Linotype" w:cs="Arial"/>
        </w:rPr>
        <w:t xml:space="preserve"> derivado de una búsqueda exhaustiva en los archivos de la Unidad Administrativa de Recursos Humanos y Materiales, no se generó ni se posee algún documento en donde conste el listado de servidores públicos que se dieron de baja ante el Instituto de Seguridad Social del Estado de México y Municipios del 1 de enero al 3 de septiembre de 2018, </w:t>
      </w:r>
      <w:r w:rsidR="00335D9F">
        <w:rPr>
          <w:rFonts w:ascii="Palatino Linotype" w:hAnsi="Palatino Linotype" w:cs="Arial"/>
        </w:rPr>
        <w:t xml:space="preserve">y en consecuencia tampoco obra documento alguno en el que </w:t>
      </w:r>
      <w:r w:rsidR="002767E6">
        <w:rPr>
          <w:rFonts w:ascii="Palatino Linotype" w:hAnsi="Palatino Linotype" w:cs="Arial"/>
        </w:rPr>
        <w:t>se indique el motivo de la separación laboral.</w:t>
      </w:r>
    </w:p>
    <w:p w:rsidR="007844E1" w:rsidRPr="00447785" w:rsidRDefault="007844E1" w:rsidP="007844E1">
      <w:pPr>
        <w:spacing w:before="100" w:beforeAutospacing="1" w:after="100" w:afterAutospacing="1" w:line="360" w:lineRule="auto"/>
        <w:jc w:val="both"/>
        <w:rPr>
          <w:rFonts w:ascii="Palatino Linotype" w:hAnsi="Palatino Linotype" w:cs="Arial"/>
          <w:sz w:val="22"/>
          <w:szCs w:val="22"/>
        </w:rPr>
      </w:pPr>
      <w:r>
        <w:rPr>
          <w:rFonts w:ascii="Palatino Linotype" w:hAnsi="Palatino Linotype"/>
          <w:color w:val="000000"/>
          <w:lang w:val="es-MX" w:eastAsia="es-MX"/>
        </w:rPr>
        <w:t xml:space="preserve">Inconforme con la respuesta, </w:t>
      </w:r>
      <w:r>
        <w:rPr>
          <w:rFonts w:ascii="Palatino Linotype" w:hAnsi="Palatino Linotype"/>
          <w:b/>
          <w:color w:val="000000"/>
          <w:lang w:val="es-MX" w:eastAsia="es-MX"/>
        </w:rPr>
        <w:t>EL R</w:t>
      </w:r>
      <w:r w:rsidRPr="00833697">
        <w:rPr>
          <w:rFonts w:ascii="Palatino Linotype" w:hAnsi="Palatino Linotype"/>
          <w:b/>
          <w:color w:val="000000"/>
          <w:lang w:val="es-MX" w:eastAsia="es-MX"/>
        </w:rPr>
        <w:t>ECURRENTE</w:t>
      </w:r>
      <w:r>
        <w:rPr>
          <w:rFonts w:ascii="Palatino Linotype" w:hAnsi="Palatino Linotype"/>
          <w:color w:val="000000"/>
          <w:lang w:val="es-MX" w:eastAsia="es-MX"/>
        </w:rPr>
        <w:t xml:space="preserve"> </w:t>
      </w:r>
      <w:r>
        <w:rPr>
          <w:rFonts w:ascii="Palatino Linotype" w:hAnsi="Palatino Linotype" w:cs="Arial"/>
        </w:rPr>
        <w:t xml:space="preserve">interpuso el recurso de revisión de mérito. </w:t>
      </w:r>
    </w:p>
    <w:p w:rsidR="007844E1" w:rsidRDefault="007844E1" w:rsidP="007844E1">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Así, del estudio d</w:t>
      </w:r>
      <w:r>
        <w:rPr>
          <w:rFonts w:ascii="Palatino Linotype" w:hAnsi="Palatino Linotype"/>
        </w:rPr>
        <w:t xml:space="preserve">el </w:t>
      </w:r>
      <w:r w:rsidRPr="00A01905">
        <w:rPr>
          <w:rFonts w:ascii="Palatino Linotype" w:hAnsi="Palatino Linotype"/>
        </w:rPr>
        <w:t>expediente electrónico</w:t>
      </w:r>
      <w:r>
        <w:rPr>
          <w:rFonts w:ascii="Palatino Linotype" w:hAnsi="Palatino Linotype" w:cs="Arial"/>
        </w:rPr>
        <w:t xml:space="preserve"> la Ponencia Resolutora determinó </w:t>
      </w:r>
      <w:r>
        <w:rPr>
          <w:rFonts w:ascii="Palatino Linotype" w:hAnsi="Palatino Linotype" w:cs="Arial"/>
          <w:b/>
        </w:rPr>
        <w:t xml:space="preserve">REVOCAR </w:t>
      </w:r>
      <w:r>
        <w:rPr>
          <w:rFonts w:ascii="Palatino Linotype" w:hAnsi="Palatino Linotype" w:cs="Arial"/>
        </w:rPr>
        <w:t xml:space="preserve">la respuesta del </w:t>
      </w:r>
      <w:r>
        <w:rPr>
          <w:rFonts w:ascii="Palatino Linotype" w:hAnsi="Palatino Linotype" w:cs="Arial"/>
          <w:b/>
        </w:rPr>
        <w:t xml:space="preserve">SUJETO OBLIGADO </w:t>
      </w:r>
      <w:r w:rsidR="00BD5D1B">
        <w:rPr>
          <w:rFonts w:ascii="Palatino Linotype" w:hAnsi="Palatino Linotype" w:cs="Arial"/>
        </w:rPr>
        <w:t xml:space="preserve">y ordenar la entrega vía SAIMEX, en versión pública de ser procedente del documento o los documentos donde conste o se aprecie: </w:t>
      </w:r>
    </w:p>
    <w:p w:rsidR="00BD5D1B" w:rsidRPr="00BD5D1B" w:rsidRDefault="00BD5D1B" w:rsidP="00335D9F">
      <w:pPr>
        <w:pStyle w:val="Prrafodelista"/>
        <w:numPr>
          <w:ilvl w:val="0"/>
          <w:numId w:val="3"/>
        </w:numPr>
        <w:ind w:left="851" w:right="902" w:firstLine="0"/>
        <w:jc w:val="both"/>
        <w:rPr>
          <w:rFonts w:ascii="Palatino Linotype" w:eastAsia="Calibri" w:hAnsi="Palatino Linotype" w:cs="Arial"/>
          <w:i/>
          <w:sz w:val="22"/>
          <w:szCs w:val="22"/>
        </w:rPr>
      </w:pPr>
      <w:r>
        <w:rPr>
          <w:rFonts w:ascii="Palatino Linotype" w:eastAsia="MS Mincho" w:hAnsi="Palatino Linotype"/>
          <w:i/>
          <w:sz w:val="22"/>
          <w:szCs w:val="22"/>
        </w:rPr>
        <w:t>“</w:t>
      </w:r>
      <w:r w:rsidRPr="00BD5D1B">
        <w:rPr>
          <w:rFonts w:ascii="Palatino Linotype" w:eastAsia="MS Mincho" w:hAnsi="Palatino Linotype"/>
          <w:i/>
          <w:sz w:val="22"/>
          <w:szCs w:val="22"/>
        </w:rPr>
        <w:t>Las bajas de Servidores Públicos ante el Instituto de Seguridad Social del Estado de México y Municipios, del 01 de enero al 03 de septiembre del 2018; y,</w:t>
      </w:r>
    </w:p>
    <w:p w:rsidR="00BD5D1B" w:rsidRPr="00BD5D1B" w:rsidRDefault="00BD5D1B" w:rsidP="00335D9F">
      <w:pPr>
        <w:pStyle w:val="Prrafodelista"/>
        <w:ind w:left="851" w:right="902"/>
        <w:jc w:val="both"/>
        <w:rPr>
          <w:rFonts w:ascii="Palatino Linotype" w:eastAsia="Calibri" w:hAnsi="Palatino Linotype" w:cs="Arial"/>
          <w:i/>
          <w:sz w:val="22"/>
          <w:szCs w:val="22"/>
        </w:rPr>
      </w:pPr>
    </w:p>
    <w:p w:rsidR="00BD5D1B" w:rsidRPr="00BD5D1B" w:rsidRDefault="00BD5D1B" w:rsidP="00335D9F">
      <w:pPr>
        <w:pStyle w:val="Prrafodelista"/>
        <w:numPr>
          <w:ilvl w:val="0"/>
          <w:numId w:val="3"/>
        </w:numPr>
        <w:ind w:left="851" w:right="902" w:firstLine="0"/>
        <w:jc w:val="both"/>
        <w:rPr>
          <w:rFonts w:ascii="Palatino Linotype" w:eastAsia="Calibri" w:hAnsi="Palatino Linotype" w:cs="Arial"/>
          <w:b/>
          <w:i/>
          <w:sz w:val="22"/>
          <w:szCs w:val="22"/>
        </w:rPr>
      </w:pPr>
      <w:r w:rsidRPr="00BD5D1B">
        <w:rPr>
          <w:rFonts w:ascii="Palatino Linotype" w:eastAsia="MS Mincho" w:hAnsi="Palatino Linotype"/>
          <w:b/>
          <w:i/>
          <w:sz w:val="22"/>
          <w:szCs w:val="22"/>
        </w:rPr>
        <w:t>El motivo o causa de la separación laboral de los servidores públicos dados de baja ante el Instituto de Seguridad Social del Estado de México y Municipios, del 01 de enero al 03 de septiembre del 2018.</w:t>
      </w:r>
    </w:p>
    <w:p w:rsidR="00BD5D1B" w:rsidRPr="00BD5D1B" w:rsidRDefault="00BD5D1B" w:rsidP="00335D9F">
      <w:pPr>
        <w:ind w:left="851" w:right="902"/>
        <w:jc w:val="both"/>
        <w:rPr>
          <w:rFonts w:ascii="Palatino Linotype" w:eastAsia="MS Mincho" w:hAnsi="Palatino Linotype"/>
          <w:i/>
          <w:sz w:val="22"/>
          <w:szCs w:val="22"/>
          <w:lang w:val="es-ES_tradnl"/>
        </w:rPr>
      </w:pPr>
      <w:r w:rsidRPr="00BD5D1B">
        <w:rPr>
          <w:rFonts w:ascii="Palatino Linotype" w:eastAsia="Calibri" w:hAnsi="Palatino Linotype" w:cs="Arial"/>
          <w:i/>
          <w:sz w:val="22"/>
          <w:szCs w:val="22"/>
          <w:lang w:val="es-ES_tradnl"/>
        </w:rPr>
        <w:lastRenderedPageBreak/>
        <w:t>Para efectos de lo anterior se deberá emitir el Acuerdo del Comité de Transparencia en términos del Considerando Quinto y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Pr="00BD5D1B">
        <w:rPr>
          <w:rFonts w:ascii="Palatino Linotype" w:eastAsia="MS Mincho" w:hAnsi="Palatino Linotype"/>
          <w:i/>
          <w:sz w:val="22"/>
          <w:szCs w:val="22"/>
          <w:lang w:val="es-ES_tradnl"/>
        </w:rPr>
        <w:t xml:space="preserve"> Juan García García.</w:t>
      </w:r>
    </w:p>
    <w:p w:rsidR="00335D9F" w:rsidRDefault="00335D9F" w:rsidP="00335D9F">
      <w:pPr>
        <w:ind w:left="851" w:right="902"/>
        <w:jc w:val="both"/>
        <w:rPr>
          <w:rFonts w:ascii="Palatino Linotype" w:eastAsia="MS Mincho" w:hAnsi="Palatino Linotype" w:cs="Arial"/>
          <w:i/>
          <w:sz w:val="22"/>
          <w:szCs w:val="22"/>
        </w:rPr>
      </w:pPr>
    </w:p>
    <w:p w:rsidR="00BD5D1B" w:rsidRPr="00BD5D1B" w:rsidRDefault="00BD5D1B" w:rsidP="00335D9F">
      <w:pPr>
        <w:ind w:left="851" w:right="902"/>
        <w:jc w:val="both"/>
        <w:rPr>
          <w:rFonts w:ascii="Palatino Linotype" w:eastAsia="MS Mincho" w:hAnsi="Palatino Linotype" w:cs="Arial"/>
          <w:i/>
          <w:sz w:val="22"/>
          <w:szCs w:val="22"/>
        </w:rPr>
      </w:pPr>
      <w:r w:rsidRPr="00BD5D1B">
        <w:rPr>
          <w:rFonts w:ascii="Palatino Linotype" w:eastAsia="MS Mincho" w:hAnsi="Palatino Linotype" w:cs="Arial"/>
          <w:i/>
          <w:sz w:val="22"/>
          <w:szCs w:val="22"/>
        </w:rPr>
        <w:t>Para el caso de que el SUJETO OBLIGADO no cuente con la información contenida en los incisos a) y b) deberá de manifestar de manera precisa y clara las razones que expliquen las causas por las que no se haya generado la información requerida.</w:t>
      </w:r>
      <w:r>
        <w:rPr>
          <w:rFonts w:ascii="Palatino Linotype" w:eastAsia="MS Mincho" w:hAnsi="Palatino Linotype" w:cs="Arial"/>
          <w:i/>
          <w:sz w:val="22"/>
          <w:szCs w:val="22"/>
        </w:rPr>
        <w:t>”</w:t>
      </w:r>
    </w:p>
    <w:p w:rsidR="00BD5D1B" w:rsidRDefault="007844E1" w:rsidP="007844E1">
      <w:pPr>
        <w:spacing w:before="100" w:beforeAutospacing="1" w:after="100" w:afterAutospacing="1" w:line="360" w:lineRule="auto"/>
        <w:jc w:val="both"/>
        <w:rPr>
          <w:rFonts w:ascii="Palatino Linotype" w:hAnsi="Palatino Linotype" w:cs="Arial"/>
          <w:lang w:val="es-MX"/>
        </w:rPr>
      </w:pPr>
      <w:r w:rsidRPr="004F3DBF">
        <w:rPr>
          <w:rFonts w:ascii="Palatino Linotype" w:hAnsi="Palatino Linotype" w:cs="Arial"/>
          <w:lang w:val="es-MX"/>
        </w:rPr>
        <w:t xml:space="preserve">En ese sentido, la que suscribe reitera, que si bien coincide en términos generales con el </w:t>
      </w:r>
      <w:r>
        <w:rPr>
          <w:rFonts w:ascii="Palatino Linotype" w:hAnsi="Palatino Linotype" w:cs="Arial"/>
          <w:lang w:val="es-MX"/>
        </w:rPr>
        <w:t xml:space="preserve">sentido de la resolución en comento así como, con </w:t>
      </w:r>
      <w:r w:rsidR="006E55FE">
        <w:rPr>
          <w:rFonts w:ascii="Palatino Linotype" w:hAnsi="Palatino Linotype" w:cs="Arial"/>
          <w:lang w:val="es-MX"/>
        </w:rPr>
        <w:t xml:space="preserve">parte de </w:t>
      </w:r>
      <w:r>
        <w:rPr>
          <w:rFonts w:ascii="Palatino Linotype" w:hAnsi="Palatino Linotype" w:cs="Arial"/>
          <w:lang w:val="es-MX"/>
        </w:rPr>
        <w:t>la información de la que se ordena la entrega, considero necesario precisar que</w:t>
      </w:r>
      <w:r w:rsidR="00BD5D1B">
        <w:rPr>
          <w:rFonts w:ascii="Palatino Linotype" w:hAnsi="Palatino Linotype" w:cs="Arial"/>
          <w:lang w:val="es-MX"/>
        </w:rPr>
        <w:t xml:space="preserve"> en relación con la información que se ordena en el inciso b),</w:t>
      </w:r>
      <w:r w:rsidR="006E55FE">
        <w:rPr>
          <w:rFonts w:ascii="Palatino Linotype" w:hAnsi="Palatino Linotype" w:cs="Arial"/>
          <w:lang w:val="es-MX"/>
        </w:rPr>
        <w:t xml:space="preserve"> consistente en el motivo o causa de la separación laboral de los servidores públicos dados de baja ante el ISSEMYM</w:t>
      </w:r>
      <w:r w:rsidR="006E55FE">
        <w:rPr>
          <w:rStyle w:val="Refdenotaalpie"/>
          <w:rFonts w:ascii="Palatino Linotype" w:hAnsi="Palatino Linotype" w:cs="Arial"/>
          <w:lang w:val="es-MX"/>
        </w:rPr>
        <w:footnoteReference w:id="1"/>
      </w:r>
      <w:r w:rsidR="006E55FE">
        <w:rPr>
          <w:rFonts w:ascii="Palatino Linotype" w:hAnsi="Palatino Linotype" w:cs="Arial"/>
          <w:lang w:val="es-MX"/>
        </w:rPr>
        <w:t>, era necesario que la Ponencia Resolutora precisara en estudio que el documento que de manera enunciativa mas no limitativa pudiera colmar el derecho de acceso a la información ejercido por el particular pudieran ser los escritos de renuncia presentados por dichos servidores públicos.</w:t>
      </w:r>
    </w:p>
    <w:p w:rsidR="008F261E" w:rsidRDefault="006E55FE" w:rsidP="008F261E">
      <w:pPr>
        <w:spacing w:before="100" w:beforeAutospacing="1" w:after="100" w:afterAutospacing="1" w:line="360" w:lineRule="auto"/>
        <w:jc w:val="both"/>
        <w:rPr>
          <w:rFonts w:ascii="Palatino Linotype" w:hAnsi="Palatino Linotype"/>
        </w:rPr>
      </w:pPr>
      <w:r>
        <w:rPr>
          <w:rFonts w:ascii="Palatino Linotype" w:hAnsi="Palatino Linotype" w:cs="Arial"/>
          <w:lang w:val="es-MX"/>
        </w:rPr>
        <w:t xml:space="preserve">Ello es así, debido a que en dichos escritos, los servidores públicos expresan al patrón </w:t>
      </w:r>
      <w:r w:rsidRPr="0057168B">
        <w:rPr>
          <w:rFonts w:ascii="Palatino Linotype" w:hAnsi="Palatino Linotype"/>
        </w:rPr>
        <w:t>su voluntad unilateral de extinguir la re</w:t>
      </w:r>
      <w:r>
        <w:rPr>
          <w:rFonts w:ascii="Palatino Linotype" w:hAnsi="Palatino Linotype"/>
        </w:rPr>
        <w:t xml:space="preserve">lación laboral, así como las razones o motivos que los llevaron a tal situación, </w:t>
      </w:r>
      <w:r w:rsidR="008F261E">
        <w:rPr>
          <w:rFonts w:ascii="Palatino Linotype" w:hAnsi="Palatino Linotype"/>
        </w:rPr>
        <w:t xml:space="preserve">por ello, a criterio de la suscrita se debió precisar en el estudio que si bien es cierto que, dicho documento pudiera colmar el derecho de acceso a la información del </w:t>
      </w:r>
      <w:r w:rsidR="008F261E">
        <w:rPr>
          <w:rFonts w:ascii="Palatino Linotype" w:hAnsi="Palatino Linotype"/>
          <w:b/>
        </w:rPr>
        <w:t xml:space="preserve">RECURRENTE, </w:t>
      </w:r>
      <w:r w:rsidR="008F261E">
        <w:rPr>
          <w:rFonts w:ascii="Palatino Linotype" w:hAnsi="Palatino Linotype"/>
        </w:rPr>
        <w:t xml:space="preserve">también lo es que, los escritos de renuncia </w:t>
      </w:r>
      <w:r w:rsidR="008F261E">
        <w:rPr>
          <w:rFonts w:ascii="Palatino Linotype" w:hAnsi="Palatino Linotype"/>
        </w:rPr>
        <w:lastRenderedPageBreak/>
        <w:t xml:space="preserve">presentados </w:t>
      </w:r>
      <w:r w:rsidRPr="0057168B">
        <w:rPr>
          <w:rFonts w:ascii="Palatino Linotype" w:hAnsi="Palatino Linotype"/>
        </w:rPr>
        <w:t>por ex servidores públicos son documentos que por su propia y especial naturaleza tienen el carácter de privados;</w:t>
      </w:r>
      <w:r w:rsidR="008F261E">
        <w:rPr>
          <w:rFonts w:ascii="Palatino Linotype" w:hAnsi="Palatino Linotype"/>
        </w:rPr>
        <w:t xml:space="preserve"> sin embargo, </w:t>
      </w:r>
      <w:r w:rsidR="008F261E" w:rsidRPr="0057168B">
        <w:rPr>
          <w:rFonts w:ascii="Palatino Linotype" w:hAnsi="Palatino Linotype"/>
        </w:rPr>
        <w:t xml:space="preserve">dicho documento constituye un medio </w:t>
      </w:r>
      <w:r w:rsidR="008F261E">
        <w:rPr>
          <w:rFonts w:ascii="Palatino Linotype" w:hAnsi="Palatino Linotype"/>
        </w:rPr>
        <w:t>por el que</w:t>
      </w:r>
      <w:r w:rsidR="008F261E" w:rsidRPr="0057168B">
        <w:rPr>
          <w:rFonts w:ascii="Palatino Linotype" w:hAnsi="Palatino Linotype"/>
        </w:rPr>
        <w:t xml:space="preserve"> un servidor público decide terminar su relación laboral con un ente público; por lo </w:t>
      </w:r>
      <w:r w:rsidR="008F261E">
        <w:rPr>
          <w:rFonts w:ascii="Palatino Linotype" w:hAnsi="Palatino Linotype"/>
        </w:rPr>
        <w:t>cual</w:t>
      </w:r>
      <w:r w:rsidR="008F261E" w:rsidRPr="0057168B">
        <w:rPr>
          <w:rFonts w:ascii="Palatino Linotype" w:hAnsi="Palatino Linotype"/>
        </w:rPr>
        <w:t xml:space="preserve">, </w:t>
      </w:r>
      <w:r w:rsidR="00335D9F">
        <w:rPr>
          <w:rFonts w:ascii="Palatino Linotype" w:hAnsi="Palatino Linotype"/>
        </w:rPr>
        <w:t>considero</w:t>
      </w:r>
      <w:r w:rsidR="008F261E">
        <w:rPr>
          <w:rFonts w:ascii="Palatino Linotype" w:hAnsi="Palatino Linotype"/>
        </w:rPr>
        <w:t xml:space="preserve"> q</w:t>
      </w:r>
      <w:r w:rsidR="008F261E" w:rsidRPr="0057168B">
        <w:rPr>
          <w:rFonts w:ascii="Palatino Linotype" w:hAnsi="Palatino Linotype"/>
        </w:rPr>
        <w:t>ue abona a la transparencia, pues</w:t>
      </w:r>
      <w:r w:rsidR="008F261E">
        <w:rPr>
          <w:rFonts w:ascii="Palatino Linotype" w:hAnsi="Palatino Linotype"/>
        </w:rPr>
        <w:t xml:space="preserve"> se </w:t>
      </w:r>
      <w:r w:rsidR="008F261E" w:rsidRPr="0057168B">
        <w:rPr>
          <w:rFonts w:ascii="Palatino Linotype" w:hAnsi="Palatino Linotype"/>
        </w:rPr>
        <w:t>deja en claro el momento exacto en que una persona deja de fungir como servidor público.</w:t>
      </w:r>
    </w:p>
    <w:p w:rsidR="00335D9F" w:rsidRDefault="00335D9F" w:rsidP="00335D9F">
      <w:pPr>
        <w:autoSpaceDE w:val="0"/>
        <w:autoSpaceDN w:val="0"/>
        <w:adjustRightInd w:val="0"/>
        <w:spacing w:line="360" w:lineRule="auto"/>
        <w:ind w:right="49"/>
        <w:jc w:val="both"/>
        <w:rPr>
          <w:rFonts w:ascii="Palatino Linotype" w:hAnsi="Palatino Linotype"/>
        </w:rPr>
      </w:pPr>
      <w:r>
        <w:rPr>
          <w:rFonts w:ascii="Palatino Linotype" w:hAnsi="Palatino Linotype"/>
        </w:rPr>
        <w:t>Sirviendo de sustento el artículo 89 de la Ley del Trabajo de los Servidores Públicos del Estado de México y Municipios</w:t>
      </w:r>
      <w:r>
        <w:rPr>
          <w:rStyle w:val="Refdenotaalpie"/>
          <w:rFonts w:ascii="Palatino Linotype" w:hAnsi="Palatino Linotype"/>
        </w:rPr>
        <w:footnoteReference w:id="2"/>
      </w:r>
      <w:r>
        <w:rPr>
          <w:rFonts w:ascii="Palatino Linotype" w:hAnsi="Palatino Linotype"/>
        </w:rPr>
        <w:t>, el cual</w:t>
      </w:r>
      <w:r w:rsidRPr="0057168B">
        <w:rPr>
          <w:rFonts w:ascii="Palatino Linotype" w:hAnsi="Palatino Linotype"/>
        </w:rPr>
        <w:t xml:space="preserve">, contempla la renuncia del servidor público, como una de las causas de terminación de la relación laboral sin responsabilidad </w:t>
      </w:r>
      <w:r>
        <w:rPr>
          <w:rFonts w:ascii="Palatino Linotype" w:hAnsi="Palatino Linotype"/>
        </w:rPr>
        <w:t>para las instituciones públicas.</w:t>
      </w:r>
    </w:p>
    <w:p w:rsidR="007844E1" w:rsidRPr="00C01C99" w:rsidRDefault="002644AE" w:rsidP="007844E1">
      <w:pPr>
        <w:spacing w:before="100" w:beforeAutospacing="1" w:after="100" w:afterAutospacing="1" w:line="360" w:lineRule="auto"/>
        <w:jc w:val="both"/>
        <w:rPr>
          <w:rFonts w:ascii="Palatino Linotype" w:hAnsi="Palatino Linotype" w:cs="Arial"/>
          <w:lang w:val="es-MX"/>
        </w:rPr>
      </w:pPr>
      <w:r>
        <w:rPr>
          <w:rFonts w:ascii="Palatino Linotype" w:hAnsi="Palatino Linotype" w:cs="Arial"/>
          <w:lang w:val="es-MX"/>
        </w:rPr>
        <w:t>Por lo que,</w:t>
      </w:r>
      <w:r w:rsidR="007844E1">
        <w:rPr>
          <w:rFonts w:ascii="Palatino Linotype" w:hAnsi="Palatino Linotype" w:cs="Arial"/>
          <w:lang w:val="es-MX"/>
        </w:rPr>
        <w:t xml:space="preserve"> </w:t>
      </w:r>
      <w:r w:rsidR="007844E1" w:rsidRPr="009F03BA">
        <w:rPr>
          <w:rFonts w:ascii="Palatino Linotype" w:hAnsi="Palatino Linotype" w:cs="Arial"/>
        </w:rPr>
        <w:t>en</w:t>
      </w:r>
      <w:r w:rsidR="007844E1">
        <w:rPr>
          <w:rFonts w:ascii="Palatino Linotype" w:hAnsi="Palatino Linotype" w:cs="Arial"/>
        </w:rPr>
        <w:t xml:space="preserve"> cumplimiento a los principios que rigen el actuar de este Órgano Garante establecidos en los artícu</w:t>
      </w:r>
      <w:r w:rsidR="007844E1" w:rsidRPr="009C5FF5">
        <w:rPr>
          <w:rFonts w:ascii="Palatino Linotype" w:hAnsi="Palatino Linotype" w:cs="Arial"/>
        </w:rPr>
        <w:t>los</w:t>
      </w:r>
      <w:r w:rsidR="007844E1">
        <w:rPr>
          <w:rFonts w:ascii="Palatino Linotype" w:hAnsi="Palatino Linotype" w:cs="Arial"/>
        </w:rPr>
        <w:t xml:space="preserve"> 4 y 9, fracciones I, VII y VIII </w:t>
      </w:r>
      <w:r w:rsidR="007844E1" w:rsidRPr="009C5FF5">
        <w:rPr>
          <w:rFonts w:ascii="Palatino Linotype" w:hAnsi="Palatino Linotype" w:cs="Arial"/>
        </w:rPr>
        <w:t>de la Ley de Transpar</w:t>
      </w:r>
      <w:r w:rsidR="007844E1">
        <w:rPr>
          <w:rFonts w:ascii="Palatino Linotype" w:hAnsi="Palatino Linotype" w:cs="Arial"/>
        </w:rPr>
        <w:t>encia y Acceso</w:t>
      </w:r>
      <w:r w:rsidR="007844E1" w:rsidRPr="009C5FF5">
        <w:rPr>
          <w:rFonts w:ascii="Palatino Linotype" w:hAnsi="Palatino Linotype" w:cs="Arial"/>
        </w:rPr>
        <w:t xml:space="preserve"> a la Información Pú</w:t>
      </w:r>
      <w:r w:rsidR="007844E1">
        <w:rPr>
          <w:rFonts w:ascii="Palatino Linotype" w:hAnsi="Palatino Linotype" w:cs="Arial"/>
        </w:rPr>
        <w:t>b</w:t>
      </w:r>
      <w:r w:rsidR="007844E1" w:rsidRPr="009C5FF5">
        <w:rPr>
          <w:rFonts w:ascii="Palatino Linotype" w:hAnsi="Palatino Linotype" w:cs="Arial"/>
        </w:rPr>
        <w:t>lica del Estado de México y</w:t>
      </w:r>
      <w:r w:rsidR="007844E1">
        <w:rPr>
          <w:rFonts w:ascii="Palatino Linotype" w:hAnsi="Palatino Linotype" w:cs="Arial"/>
        </w:rPr>
        <w:t xml:space="preserve"> </w:t>
      </w:r>
      <w:r w:rsidR="007844E1" w:rsidRPr="009C5FF5">
        <w:rPr>
          <w:rFonts w:ascii="Palatino Linotype" w:hAnsi="Palatino Linotype" w:cs="Arial"/>
        </w:rPr>
        <w:t xml:space="preserve">Municipios, mediante </w:t>
      </w:r>
      <w:r w:rsidR="007844E1">
        <w:rPr>
          <w:rFonts w:ascii="Palatino Linotype" w:hAnsi="Palatino Linotype" w:cs="Arial"/>
        </w:rPr>
        <w:t xml:space="preserve">los cuales debe </w:t>
      </w:r>
      <w:r w:rsidR="007844E1" w:rsidRPr="009C5FF5">
        <w:rPr>
          <w:rFonts w:ascii="Palatino Linotype" w:hAnsi="Palatino Linotype" w:cs="Arial"/>
        </w:rPr>
        <w:t xml:space="preserve">privilegiarse </w:t>
      </w:r>
      <w:r w:rsidR="007844E1">
        <w:rPr>
          <w:rFonts w:ascii="Palatino Linotype" w:hAnsi="Palatino Linotype" w:cs="Arial"/>
        </w:rPr>
        <w:t>la</w:t>
      </w:r>
      <w:r w:rsidR="007844E1" w:rsidRPr="009C5FF5">
        <w:rPr>
          <w:rFonts w:ascii="Palatino Linotype" w:hAnsi="Palatino Linotype" w:cs="Arial"/>
        </w:rPr>
        <w:t xml:space="preserve"> máxima publicidad</w:t>
      </w:r>
      <w:r w:rsidR="007844E1">
        <w:rPr>
          <w:rFonts w:ascii="Palatino Linotype" w:hAnsi="Palatino Linotype" w:cs="Arial"/>
        </w:rPr>
        <w:t xml:space="preserve"> </w:t>
      </w:r>
      <w:r w:rsidR="007844E1" w:rsidRPr="009C5FF5">
        <w:rPr>
          <w:rFonts w:ascii="Palatino Linotype" w:hAnsi="Palatino Linotype" w:cs="Arial"/>
        </w:rPr>
        <w:t xml:space="preserve">y </w:t>
      </w:r>
      <w:r>
        <w:rPr>
          <w:rFonts w:ascii="Palatino Linotype" w:hAnsi="Palatino Linotype" w:cs="Arial"/>
        </w:rPr>
        <w:t xml:space="preserve">dar certeza jurídica al particular respecto de la información que se ordena, se trascriben a continuación dichos </w:t>
      </w:r>
      <w:r w:rsidR="007844E1">
        <w:rPr>
          <w:rFonts w:ascii="Palatino Linotype" w:hAnsi="Palatino Linotype" w:cs="Arial"/>
        </w:rPr>
        <w:t>preceptos:</w:t>
      </w:r>
    </w:p>
    <w:p w:rsidR="007844E1" w:rsidRDefault="007844E1" w:rsidP="00335D9F">
      <w:pPr>
        <w:ind w:left="851" w:right="902"/>
        <w:jc w:val="both"/>
        <w:rPr>
          <w:rFonts w:ascii="Palatino Linotype" w:hAnsi="Palatino Linotype" w:cs="Arial"/>
          <w:bCs/>
          <w:i/>
          <w:sz w:val="22"/>
        </w:rPr>
      </w:pPr>
      <w:r>
        <w:rPr>
          <w:rFonts w:ascii="Palatino Linotype" w:hAnsi="Palatino Linotype" w:cs="Arial"/>
          <w:b/>
          <w:bCs/>
          <w:i/>
          <w:sz w:val="22"/>
        </w:rPr>
        <w:t>“</w:t>
      </w:r>
      <w:r w:rsidRPr="00444E6E">
        <w:rPr>
          <w:rFonts w:ascii="Palatino Linotype" w:hAnsi="Palatino Linotype" w:cs="Arial"/>
          <w:b/>
          <w:bCs/>
          <w:i/>
          <w:sz w:val="22"/>
        </w:rPr>
        <w:t>Artículo 4.</w:t>
      </w:r>
      <w:r w:rsidRPr="00444E6E">
        <w:rPr>
          <w:rFonts w:ascii="Palatino Linotype" w:hAnsi="Palatino Linotype" w:cs="Arial"/>
          <w:bCs/>
          <w:i/>
          <w:sz w:val="22"/>
        </w:rPr>
        <w:t xml:space="preserve"> </w:t>
      </w:r>
      <w:r w:rsidRPr="009C5FF5">
        <w:rPr>
          <w:rFonts w:ascii="Palatino Linotype" w:hAnsi="Palatino Linotype" w:cs="Arial"/>
          <w:bCs/>
          <w:i/>
          <w:sz w:val="22"/>
        </w:rPr>
        <w:t>El derecho humano de acceso a la información pública es la prerrogativa de las personas para buscar, difundir, investigar, recabar, recibir y solicitar información pública</w:t>
      </w:r>
      <w:r w:rsidRPr="00444E6E">
        <w:rPr>
          <w:rFonts w:ascii="Palatino Linotype" w:hAnsi="Palatino Linotype" w:cs="Arial"/>
          <w:bCs/>
          <w:i/>
          <w:sz w:val="22"/>
        </w:rPr>
        <w:t xml:space="preserve">, sin necesidad de acreditar personalidad ni interés jurídico. </w:t>
      </w:r>
    </w:p>
    <w:p w:rsidR="00335D9F" w:rsidRPr="00444E6E" w:rsidRDefault="00335D9F" w:rsidP="00335D9F">
      <w:pPr>
        <w:ind w:left="851" w:right="902"/>
        <w:jc w:val="both"/>
        <w:rPr>
          <w:rFonts w:ascii="Palatino Linotype" w:hAnsi="Palatino Linotype" w:cs="Arial"/>
          <w:bCs/>
          <w:i/>
          <w:sz w:val="22"/>
        </w:rPr>
      </w:pPr>
    </w:p>
    <w:p w:rsidR="007844E1" w:rsidRDefault="007844E1" w:rsidP="00335D9F">
      <w:pPr>
        <w:ind w:left="851" w:right="902"/>
        <w:jc w:val="both"/>
        <w:rPr>
          <w:rFonts w:ascii="Palatino Linotype" w:hAnsi="Palatino Linotype" w:cs="Arial"/>
          <w:bCs/>
          <w:i/>
          <w:sz w:val="22"/>
        </w:rPr>
      </w:pPr>
      <w:r w:rsidRPr="00933F8A">
        <w:rPr>
          <w:rFonts w:ascii="Palatino Linotype" w:hAnsi="Palatino Linotype" w:cs="Arial"/>
          <w:b/>
          <w:bCs/>
          <w:i/>
          <w:sz w:val="22"/>
        </w:rPr>
        <w:t>Toda la información generada, obtenida, adquirida, transformada, administrada o en posesión de los sujetos obligados es pública y accesible de manera permanente a cualquier persona</w:t>
      </w:r>
      <w:r w:rsidRPr="00933F8A">
        <w:rPr>
          <w:rFonts w:ascii="Palatino Linotype" w:hAnsi="Palatino Linotype" w:cs="Arial"/>
          <w:bCs/>
          <w:i/>
          <w:sz w:val="22"/>
        </w:rPr>
        <w:t xml:space="preserve">, en los términos y condiciones que se establezcan en los tratados internacionales de los que el Estado mexicano sea parte, en la Ley General, la presente Ley y demás disposiciones de la materia, </w:t>
      </w:r>
      <w:r w:rsidRPr="00933F8A">
        <w:rPr>
          <w:rFonts w:ascii="Palatino Linotype" w:hAnsi="Palatino Linotype" w:cs="Arial"/>
          <w:b/>
          <w:bCs/>
          <w:i/>
          <w:sz w:val="22"/>
        </w:rPr>
        <w:t>privilegiando el principio de máxima publicidad</w:t>
      </w:r>
      <w:r w:rsidRPr="00933F8A">
        <w:rPr>
          <w:rFonts w:ascii="Palatino Linotype" w:hAnsi="Palatino Linotype" w:cs="Arial"/>
          <w:bCs/>
          <w:i/>
          <w:sz w:val="22"/>
        </w:rPr>
        <w:t xml:space="preserve"> de la </w:t>
      </w:r>
      <w:r w:rsidRPr="00933F8A">
        <w:rPr>
          <w:rFonts w:ascii="Palatino Linotype" w:hAnsi="Palatino Linotype" w:cs="Arial"/>
          <w:i/>
          <w:color w:val="000000"/>
          <w:sz w:val="22"/>
        </w:rPr>
        <w:t>información</w:t>
      </w:r>
      <w:r w:rsidRPr="00444E6E">
        <w:rPr>
          <w:rFonts w:ascii="Palatino Linotype" w:hAnsi="Palatino Linotype" w:cs="Arial"/>
          <w:bCs/>
          <w:i/>
          <w:sz w:val="22"/>
        </w:rPr>
        <w:t xml:space="preserve">. Solo podrá ser clasificada excepcionalmente como reservada temporalmente por razones de interés público, en los términos de las causas legítimas y estrictamente necesarias previstas por esta Ley. </w:t>
      </w:r>
    </w:p>
    <w:p w:rsidR="00335D9F" w:rsidRDefault="00335D9F" w:rsidP="00335D9F">
      <w:pPr>
        <w:ind w:left="851" w:right="902"/>
        <w:jc w:val="both"/>
        <w:rPr>
          <w:rFonts w:ascii="Palatino Linotype" w:hAnsi="Palatino Linotype" w:cs="Arial"/>
          <w:bCs/>
          <w:i/>
          <w:sz w:val="22"/>
        </w:rPr>
      </w:pPr>
    </w:p>
    <w:p w:rsidR="007844E1" w:rsidRDefault="007844E1" w:rsidP="00335D9F">
      <w:pPr>
        <w:ind w:left="851" w:right="902"/>
        <w:jc w:val="both"/>
        <w:rPr>
          <w:rFonts w:ascii="Palatino Linotype" w:hAnsi="Palatino Linotype" w:cs="Arial"/>
          <w:bCs/>
          <w:i/>
          <w:sz w:val="22"/>
        </w:rPr>
      </w:pPr>
      <w:r w:rsidRPr="00444E6E">
        <w:rPr>
          <w:rFonts w:ascii="Palatino Linotype" w:hAnsi="Palatino Linotype" w:cs="Arial"/>
          <w:bCs/>
          <w:i/>
          <w:sz w:val="22"/>
        </w:rPr>
        <w:t xml:space="preserve">Los sujetos obligados deben poner en práctica, políticas y programas de acceso a la información que se apeguen a criterios de publicidad, veracidad, oportunidad, precisión y suficiencia en beneficio de los solicitantes. </w:t>
      </w:r>
    </w:p>
    <w:p w:rsidR="00335D9F" w:rsidRDefault="00335D9F" w:rsidP="00335D9F">
      <w:pPr>
        <w:ind w:left="851" w:right="902"/>
        <w:jc w:val="both"/>
        <w:rPr>
          <w:rFonts w:ascii="Palatino Linotype" w:hAnsi="Palatino Linotype" w:cs="Arial"/>
          <w:bCs/>
          <w:i/>
          <w:sz w:val="22"/>
        </w:rPr>
      </w:pPr>
    </w:p>
    <w:p w:rsidR="007844E1" w:rsidRDefault="007844E1" w:rsidP="00335D9F">
      <w:pPr>
        <w:ind w:left="851" w:right="902"/>
        <w:jc w:val="both"/>
        <w:rPr>
          <w:rFonts w:ascii="Palatino Linotype" w:hAnsi="Palatino Linotype" w:cs="Arial"/>
          <w:b/>
          <w:bCs/>
          <w:i/>
          <w:sz w:val="22"/>
        </w:rPr>
      </w:pPr>
      <w:r w:rsidRPr="00933F8A">
        <w:rPr>
          <w:rFonts w:ascii="Palatino Linotype" w:hAnsi="Palatino Linotype" w:cs="Arial"/>
          <w:b/>
          <w:bCs/>
          <w:i/>
          <w:sz w:val="22"/>
        </w:rPr>
        <w:t>Artículo 9. El Instituto deberá regir su funcionamiento de acuerdo a los siguientes principios:</w:t>
      </w:r>
    </w:p>
    <w:p w:rsidR="00335D9F" w:rsidRPr="00933F8A" w:rsidRDefault="00335D9F" w:rsidP="00335D9F">
      <w:pPr>
        <w:ind w:left="851" w:right="902"/>
        <w:jc w:val="both"/>
        <w:rPr>
          <w:rFonts w:ascii="Palatino Linotype" w:hAnsi="Palatino Linotype" w:cs="Arial"/>
          <w:b/>
          <w:bCs/>
          <w:i/>
          <w:sz w:val="22"/>
        </w:rPr>
      </w:pPr>
    </w:p>
    <w:p w:rsidR="007844E1" w:rsidRDefault="007844E1" w:rsidP="00335D9F">
      <w:pPr>
        <w:ind w:left="851" w:right="902"/>
        <w:jc w:val="both"/>
        <w:rPr>
          <w:rFonts w:ascii="Palatino Linotype" w:hAnsi="Palatino Linotype" w:cs="Arial"/>
          <w:b/>
          <w:bCs/>
          <w:i/>
          <w:sz w:val="22"/>
        </w:rPr>
      </w:pPr>
      <w:r w:rsidRPr="00933F8A">
        <w:rPr>
          <w:rFonts w:ascii="Palatino Linotype" w:hAnsi="Palatino Linotype" w:cs="Arial"/>
          <w:b/>
          <w:bCs/>
          <w:i/>
          <w:sz w:val="22"/>
        </w:rPr>
        <w:t>I. Certeza:</w:t>
      </w:r>
      <w:r w:rsidRPr="00933F8A">
        <w:rPr>
          <w:rFonts w:ascii="Palatino Linotype" w:hAnsi="Palatino Linotype" w:cs="Arial"/>
          <w:bCs/>
          <w:i/>
          <w:sz w:val="22"/>
        </w:rPr>
        <w:t xml:space="preserve"> </w:t>
      </w:r>
      <w:r w:rsidRPr="00933F8A">
        <w:rPr>
          <w:rFonts w:ascii="Palatino Linotype" w:hAnsi="Palatino Linotype" w:cs="Arial"/>
          <w:b/>
          <w:bCs/>
          <w:i/>
          <w:sz w:val="22"/>
        </w:rPr>
        <w:t>Principio que otorga seguridad y certidumbre jurídica a los particulares, en virtud de que permite conocer si las acciones</w:t>
      </w:r>
      <w:r w:rsidRPr="006807DD">
        <w:rPr>
          <w:rFonts w:ascii="Palatino Linotype" w:hAnsi="Palatino Linotype" w:cs="Arial"/>
          <w:b/>
          <w:bCs/>
          <w:i/>
          <w:sz w:val="22"/>
        </w:rPr>
        <w:t xml:space="preserve"> del Instituto son apegadas a derecho y garantiza que los procedimientos sean completamente verificables, fidedignos y confiables; </w:t>
      </w:r>
    </w:p>
    <w:p w:rsidR="00335D9F" w:rsidRPr="006807DD" w:rsidRDefault="007844E1" w:rsidP="00335D9F">
      <w:pPr>
        <w:ind w:left="851" w:right="902"/>
        <w:jc w:val="both"/>
        <w:rPr>
          <w:rFonts w:ascii="Palatino Linotype" w:hAnsi="Palatino Linotype" w:cs="Arial"/>
          <w:b/>
          <w:bCs/>
          <w:i/>
          <w:sz w:val="22"/>
        </w:rPr>
      </w:pPr>
      <w:r>
        <w:rPr>
          <w:rFonts w:ascii="Palatino Linotype" w:hAnsi="Palatino Linotype" w:cs="Arial"/>
          <w:b/>
          <w:bCs/>
          <w:i/>
          <w:sz w:val="22"/>
        </w:rPr>
        <w:t>…</w:t>
      </w:r>
    </w:p>
    <w:p w:rsidR="00335D9F" w:rsidRDefault="007844E1" w:rsidP="00335D9F">
      <w:pPr>
        <w:ind w:left="851" w:right="902"/>
        <w:jc w:val="both"/>
        <w:rPr>
          <w:rFonts w:ascii="Palatino Linotype" w:hAnsi="Palatino Linotype" w:cs="Arial"/>
          <w:b/>
          <w:bCs/>
          <w:i/>
          <w:sz w:val="22"/>
        </w:rPr>
      </w:pPr>
      <w:r w:rsidRPr="006807DD">
        <w:rPr>
          <w:rFonts w:ascii="Palatino Linotype" w:hAnsi="Palatino Linotype" w:cs="Arial"/>
          <w:b/>
          <w:bCs/>
          <w:i/>
          <w:sz w:val="22"/>
        </w:rPr>
        <w:t>VII. Máxima Publicidad: Toda la información en posesión de los sujetos obligados será pública, completa, oportuna y accesible, sujeta a un claro régimen de excepciones que deberán estar definidas y ser además legítimas y estrictamente necesarias en una sociedad democrática;</w:t>
      </w:r>
    </w:p>
    <w:p w:rsidR="007844E1" w:rsidRDefault="007844E1" w:rsidP="00335D9F">
      <w:pPr>
        <w:ind w:left="851" w:right="902"/>
        <w:jc w:val="both"/>
        <w:rPr>
          <w:rFonts w:ascii="Palatino Linotype" w:hAnsi="Palatino Linotype" w:cs="Arial"/>
          <w:b/>
          <w:bCs/>
          <w:i/>
          <w:sz w:val="22"/>
        </w:rPr>
      </w:pPr>
    </w:p>
    <w:p w:rsidR="007844E1" w:rsidRPr="006807DD" w:rsidRDefault="007844E1" w:rsidP="00335D9F">
      <w:pPr>
        <w:ind w:left="851" w:right="902"/>
        <w:jc w:val="both"/>
        <w:rPr>
          <w:rFonts w:ascii="Palatino Linotype" w:hAnsi="Palatino Linotype" w:cs="Arial"/>
          <w:b/>
          <w:bCs/>
          <w:i/>
          <w:sz w:val="22"/>
        </w:rPr>
      </w:pPr>
      <w:r w:rsidRPr="006807DD">
        <w:rPr>
          <w:rFonts w:ascii="Palatino Linotype" w:hAnsi="Palatino Linotype" w:cs="Arial"/>
          <w:b/>
          <w:bCs/>
          <w:i/>
          <w:sz w:val="22"/>
        </w:rPr>
        <w:t xml:space="preserve">VIII. Objetividad: Obligación del Instituto de ajustar su actuación a los presupuestos de ley que deben ser aplicados al analizar el caso en concreto y resolver todos los hechos, prescindiendo de las consideraciones y criterios personales; </w:t>
      </w:r>
    </w:p>
    <w:p w:rsidR="007844E1" w:rsidRPr="00444E6E" w:rsidRDefault="007844E1" w:rsidP="00335D9F">
      <w:pPr>
        <w:ind w:left="851" w:right="902"/>
        <w:jc w:val="both"/>
        <w:rPr>
          <w:rFonts w:ascii="Palatino Linotype" w:hAnsi="Palatino Linotype" w:cs="Arial"/>
          <w:bCs/>
          <w:i/>
          <w:sz w:val="22"/>
        </w:rPr>
      </w:pPr>
      <w:r>
        <w:rPr>
          <w:rFonts w:ascii="Palatino Linotype" w:hAnsi="Palatino Linotype" w:cs="Arial"/>
          <w:bCs/>
          <w:i/>
          <w:sz w:val="22"/>
        </w:rPr>
        <w:t>…</w:t>
      </w:r>
    </w:p>
    <w:p w:rsidR="007844E1" w:rsidRPr="00444E6E" w:rsidRDefault="007844E1" w:rsidP="00335D9F">
      <w:pPr>
        <w:ind w:left="851" w:right="902"/>
        <w:jc w:val="both"/>
        <w:rPr>
          <w:rFonts w:ascii="Palatino Linotype" w:hAnsi="Palatino Linotype" w:cs="Arial"/>
          <w:bCs/>
          <w:i/>
          <w:sz w:val="22"/>
        </w:rPr>
      </w:pPr>
      <w:r>
        <w:rPr>
          <w:rFonts w:ascii="Palatino Linotype" w:hAnsi="Palatino Linotype" w:cs="Arial"/>
          <w:bCs/>
          <w:i/>
          <w:sz w:val="22"/>
        </w:rPr>
        <w:t>(Énfasis añadido)</w:t>
      </w:r>
    </w:p>
    <w:p w:rsidR="007844E1" w:rsidRDefault="007844E1" w:rsidP="007844E1">
      <w:pPr>
        <w:spacing w:before="100" w:beforeAutospacing="1" w:after="100" w:afterAutospacing="1" w:line="360" w:lineRule="auto"/>
        <w:jc w:val="both"/>
        <w:rPr>
          <w:rFonts w:ascii="Palatino Linotype" w:hAnsi="Palatino Linotype" w:cs="Arial"/>
          <w:lang w:val="es-MX"/>
        </w:rPr>
      </w:pPr>
      <w:r>
        <w:rPr>
          <w:rFonts w:ascii="Palatino Linotype" w:hAnsi="Palatino Linotype"/>
        </w:rPr>
        <w:lastRenderedPageBreak/>
        <w:t xml:space="preserve">A fin de robustecer lo expuesto, conviene citar </w:t>
      </w:r>
      <w:r>
        <w:rPr>
          <w:rFonts w:ascii="Palatino Linotype" w:hAnsi="Palatino Linotype" w:cs="Segoe UI"/>
        </w:rPr>
        <w:t xml:space="preserve">el criterio orientador </w:t>
      </w:r>
      <w:r>
        <w:rPr>
          <w:rFonts w:ascii="Palatino Linotype" w:hAnsi="Palatino Linotype"/>
          <w:lang w:eastAsia="es-MX"/>
        </w:rPr>
        <w:t xml:space="preserve">002/2017 del Instituto Nacional de Acceso a la Información y Protección de Datos (INAI), </w:t>
      </w:r>
      <w:r>
        <w:rPr>
          <w:rFonts w:ascii="Palatino Linotype" w:hAnsi="Palatino Linotype" w:cs="Arial"/>
        </w:rPr>
        <w:t>cuyo tenor es el siguiente:</w:t>
      </w:r>
    </w:p>
    <w:p w:rsidR="007844E1" w:rsidRDefault="007844E1" w:rsidP="00335D9F">
      <w:pPr>
        <w:ind w:left="851" w:right="902"/>
        <w:jc w:val="both"/>
        <w:rPr>
          <w:rFonts w:ascii="Palatino Linotype" w:hAnsi="Palatino Linotype" w:cs="Arial"/>
          <w:b/>
          <w:bCs/>
          <w:i/>
          <w:sz w:val="22"/>
        </w:rPr>
      </w:pPr>
      <w:r w:rsidRPr="006807DD">
        <w:rPr>
          <w:rFonts w:ascii="Palatino Linotype" w:hAnsi="Palatino Linotype" w:cs="Arial"/>
          <w:b/>
          <w:bCs/>
          <w:i/>
          <w:sz w:val="22"/>
        </w:rPr>
        <w:t>“Congruencia y exhaustividad.</w:t>
      </w:r>
      <w:r w:rsidRPr="006807DD">
        <w:rPr>
          <w:rFonts w:ascii="Palatino Linotype" w:hAnsi="Palatino Linotype" w:cs="Arial"/>
          <w:bCs/>
          <w:i/>
          <w:sz w:val="22"/>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D621C2">
        <w:rPr>
          <w:rFonts w:ascii="Palatino Linotype" w:hAnsi="Palatino Linotype" w:cs="Arial"/>
          <w:b/>
          <w:bCs/>
          <w:i/>
          <w:sz w:val="22"/>
        </w:rPr>
        <w:t>la congruencia implica que exista concordancia entre el requerimiento formulado por el particular y la respuesta proporcionada por el sujeto obligado;</w:t>
      </w:r>
      <w:r w:rsidRPr="006807DD">
        <w:rPr>
          <w:rFonts w:ascii="Palatino Linotype" w:hAnsi="Palatino Linotype" w:cs="Arial"/>
          <w:bCs/>
          <w:i/>
          <w:sz w:val="22"/>
        </w:rPr>
        <w:t xml:space="preserve"> mientras que </w:t>
      </w:r>
      <w:r w:rsidRPr="00D621C2">
        <w:rPr>
          <w:rFonts w:ascii="Palatino Linotype" w:hAnsi="Palatino Linotype" w:cs="Arial"/>
          <w:b/>
          <w:bCs/>
          <w:i/>
          <w:sz w:val="22"/>
        </w:rPr>
        <w:t xml:space="preserve">la exhaustividad significa que dicha respuesta se refiera expresamente a cada uno de los puntos solicitados. </w:t>
      </w:r>
      <w:r w:rsidRPr="006807DD">
        <w:rPr>
          <w:rFonts w:ascii="Palatino Linotype" w:hAnsi="Palatino Linotype" w:cs="Arial"/>
          <w:bCs/>
          <w:i/>
          <w:sz w:val="22"/>
        </w:rPr>
        <w:t xml:space="preserve">Por lo anterior, los sujetos obligados cumplirán con los principios de congruencia y exhaustividad, </w:t>
      </w:r>
      <w:r w:rsidRPr="00D621C2">
        <w:rPr>
          <w:rFonts w:ascii="Palatino Linotype" w:hAnsi="Palatino Linotype" w:cs="Arial"/>
          <w:b/>
          <w:bCs/>
          <w:i/>
          <w:sz w:val="22"/>
        </w:rPr>
        <w:t>cuando las respuestas que emitan guarden una relación lógica con lo solicitado y atiendan de manera puntual y expresa, cada uno de los contenidos de información.</w:t>
      </w:r>
    </w:p>
    <w:p w:rsidR="00335D9F" w:rsidRPr="00D621C2" w:rsidRDefault="00335D9F" w:rsidP="00335D9F">
      <w:pPr>
        <w:ind w:left="851" w:right="902"/>
        <w:jc w:val="both"/>
        <w:rPr>
          <w:rFonts w:ascii="Palatino Linotype" w:hAnsi="Palatino Linotype" w:cs="Arial"/>
          <w:b/>
          <w:bCs/>
          <w:i/>
          <w:sz w:val="22"/>
        </w:rPr>
      </w:pPr>
    </w:p>
    <w:p w:rsidR="007844E1" w:rsidRPr="00C01C99" w:rsidRDefault="007844E1" w:rsidP="00335D9F">
      <w:pPr>
        <w:ind w:left="851" w:right="902"/>
        <w:jc w:val="both"/>
        <w:rPr>
          <w:rFonts w:ascii="Palatino Linotype" w:hAnsi="Palatino Linotype" w:cs="Arial"/>
          <w:b/>
          <w:bCs/>
          <w:i/>
          <w:sz w:val="22"/>
        </w:rPr>
      </w:pPr>
      <w:r w:rsidRPr="006807DD">
        <w:rPr>
          <w:rFonts w:ascii="Palatino Linotype" w:hAnsi="Palatino Linotype" w:cs="Arial"/>
          <w:bCs/>
          <w:i/>
          <w:sz w:val="22"/>
        </w:rPr>
        <w:t xml:space="preserve">Resoluciones: </w:t>
      </w:r>
      <w:r w:rsidRPr="006807DD">
        <w:rPr>
          <w:rFonts w:ascii="Palatino Linotype" w:hAnsi="Palatino Linotype" w:cs="Arial"/>
          <w:bCs/>
          <w:i/>
          <w:sz w:val="22"/>
        </w:rPr>
        <w:sym w:font="Symbol" w:char="F0B7"/>
      </w:r>
      <w:r w:rsidRPr="006807DD">
        <w:rPr>
          <w:rFonts w:ascii="Palatino Linotype" w:hAnsi="Palatino Linotype" w:cs="Arial"/>
          <w:bCs/>
          <w:i/>
          <w:sz w:val="22"/>
        </w:rPr>
        <w:t xml:space="preserve"> RRA 0003/16. Comisión Nacional de las Zonas Áridas. 29 de junio de 2016. Por unanimidad. Comisionado Ponente Oscar Mauricio Guerra Ford. </w:t>
      </w:r>
      <w:r w:rsidRPr="006807DD">
        <w:rPr>
          <w:rFonts w:ascii="Palatino Linotype" w:hAnsi="Palatino Linotype" w:cs="Arial"/>
          <w:bCs/>
          <w:i/>
          <w:sz w:val="22"/>
        </w:rPr>
        <w:sym w:font="Symbol" w:char="F0B7"/>
      </w:r>
      <w:r w:rsidRPr="006807DD">
        <w:rPr>
          <w:rFonts w:ascii="Palatino Linotype" w:hAnsi="Palatino Linotype" w:cs="Arial"/>
          <w:bCs/>
          <w:i/>
          <w:sz w:val="22"/>
        </w:rPr>
        <w:t xml:space="preserve"> RRA 0100/16. Sindicato Nacional de Trabajadores de la Educación. 13 de julio de 2016. Por unanimidad. Comisionada Ponente. Areli Cano Guadiana. </w:t>
      </w:r>
      <w:r w:rsidRPr="006807DD">
        <w:rPr>
          <w:rFonts w:ascii="Palatino Linotype" w:hAnsi="Palatino Linotype" w:cs="Arial"/>
          <w:bCs/>
          <w:i/>
          <w:sz w:val="22"/>
        </w:rPr>
        <w:sym w:font="Symbol" w:char="F0B7"/>
      </w:r>
      <w:r w:rsidRPr="006807DD">
        <w:rPr>
          <w:rFonts w:ascii="Palatino Linotype" w:hAnsi="Palatino Linotype" w:cs="Arial"/>
          <w:bCs/>
          <w:i/>
          <w:sz w:val="22"/>
        </w:rPr>
        <w:t xml:space="preserve"> RRA 1419/16. Secretaría de Educación Pública. 14 de septiembre de 2016. Por unanimidad. Comisionado Ponente Rosendoevgueni Monterrey Chepov</w:t>
      </w:r>
      <w:r w:rsidRPr="007D2ED5">
        <w:rPr>
          <w:rFonts w:ascii="Palatino Linotype" w:hAnsi="Palatino Linotype" w:cs="Arial"/>
          <w:b/>
          <w:bCs/>
          <w:i/>
          <w:sz w:val="22"/>
        </w:rPr>
        <w:t>.”</w:t>
      </w:r>
    </w:p>
    <w:p w:rsidR="007844E1" w:rsidRDefault="007844E1" w:rsidP="007844E1">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Es decir, </w:t>
      </w:r>
      <w:r w:rsidR="002644AE">
        <w:rPr>
          <w:rFonts w:ascii="Palatino Linotype" w:hAnsi="Palatino Linotype" w:cs="Arial"/>
        </w:rPr>
        <w:t xml:space="preserve">de lo hasta aquí expuesto se considera que la Ponencia Resolutora </w:t>
      </w:r>
      <w:r w:rsidR="00C7630F">
        <w:rPr>
          <w:rFonts w:ascii="Palatino Linotype" w:hAnsi="Palatino Linotype" w:cs="Arial"/>
        </w:rPr>
        <w:t xml:space="preserve">debió precisar que </w:t>
      </w:r>
      <w:r w:rsidR="00335D9F">
        <w:rPr>
          <w:rFonts w:ascii="Palatino Linotype" w:hAnsi="Palatino Linotype" w:cs="Arial"/>
        </w:rPr>
        <w:t xml:space="preserve">en </w:t>
      </w:r>
      <w:r w:rsidR="00C7630F">
        <w:rPr>
          <w:rFonts w:ascii="Palatino Linotype" w:hAnsi="Palatino Linotype" w:cs="Arial"/>
        </w:rPr>
        <w:t xml:space="preserve">el documento o documentos que pudieran colmar el derecho de acceso a la información son los escritos de renuncia presentados por los ahora ex servidores públicos y en consecuencia los mismos debían ser entregados en versión pública considerando que </w:t>
      </w:r>
      <w:r w:rsidR="00335D9F">
        <w:rPr>
          <w:rFonts w:ascii="Palatino Linotype" w:hAnsi="Palatino Linotype" w:cs="Arial"/>
        </w:rPr>
        <w:t xml:space="preserve">para el caso de que </w:t>
      </w:r>
      <w:r w:rsidR="00C7630F">
        <w:rPr>
          <w:rFonts w:ascii="Palatino Linotype" w:hAnsi="Palatino Linotype" w:cs="Arial"/>
        </w:rPr>
        <w:t xml:space="preserve">los motivos o la causa de separación laboral pudieran contener datos personales en términos del artículo 4, fracción XI de la Ley de Protección de Datos Personales en Posesión de los Sujetos Obligados del Estado de </w:t>
      </w:r>
      <w:r w:rsidR="00C7630F">
        <w:rPr>
          <w:rFonts w:ascii="Palatino Linotype" w:hAnsi="Palatino Linotype" w:cs="Arial"/>
        </w:rPr>
        <w:lastRenderedPageBreak/>
        <w:t>México y Municipios;</w:t>
      </w:r>
      <w:r>
        <w:rPr>
          <w:rFonts w:ascii="Palatino Linotype" w:hAnsi="Palatino Linotype" w:cs="Arial"/>
        </w:rPr>
        <w:t xml:space="preserve"> con la finalidad de darle certeza jurídica </w:t>
      </w:r>
      <w:r w:rsidR="00C7630F">
        <w:rPr>
          <w:rFonts w:ascii="Palatino Linotype" w:hAnsi="Palatino Linotype" w:cs="Arial"/>
        </w:rPr>
        <w:t>al particular respecto de la información pública solicitada</w:t>
      </w:r>
      <w:r>
        <w:rPr>
          <w:rFonts w:ascii="Palatino Linotype" w:hAnsi="Palatino Linotype" w:cs="Arial"/>
        </w:rPr>
        <w:t xml:space="preserve">; </w:t>
      </w:r>
      <w:r>
        <w:rPr>
          <w:rFonts w:ascii="Palatino Linotype" w:hAnsi="Palatino Linotype"/>
          <w:color w:val="000000"/>
        </w:rPr>
        <w:t>razón por la que</w:t>
      </w:r>
      <w:r>
        <w:rPr>
          <w:rFonts w:ascii="Palatino Linotype" w:hAnsi="Palatino Linotype" w:cs="Arial"/>
        </w:rPr>
        <w:t xml:space="preserve">, la suscrita emite </w:t>
      </w:r>
      <w:r>
        <w:rPr>
          <w:rFonts w:ascii="Palatino Linotype" w:hAnsi="Palatino Linotype" w:cs="Arial"/>
          <w:b/>
        </w:rPr>
        <w:t>OPINIÓN PARTICULAR</w:t>
      </w:r>
      <w:r>
        <w:rPr>
          <w:rFonts w:ascii="Palatino Linotype" w:hAnsi="Palatino Linotype" w:cs="Arial"/>
        </w:rPr>
        <w:t xml:space="preserve"> pues lo procedente en consecuencia era que de conformidad con el artículo 9 de la Ley de la materia </w:t>
      </w:r>
      <w:r>
        <w:rPr>
          <w:rFonts w:ascii="Palatino Linotype" w:hAnsi="Palatino Linotype" w:cs="Arial"/>
          <w:b/>
        </w:rPr>
        <w:t xml:space="preserve">EL SUJETO OBLIGADO </w:t>
      </w:r>
      <w:r>
        <w:rPr>
          <w:rFonts w:ascii="Palatino Linotype" w:hAnsi="Palatino Linotype" w:cs="Arial"/>
        </w:rPr>
        <w:t>atendiera la solicitud de información en los términos en que fue planteada.</w:t>
      </w:r>
    </w:p>
    <w:p w:rsidR="00335D9F" w:rsidRDefault="00335D9F" w:rsidP="007844E1">
      <w:pPr>
        <w:spacing w:before="100" w:beforeAutospacing="1" w:after="100" w:afterAutospacing="1" w:line="360" w:lineRule="auto"/>
        <w:jc w:val="both"/>
        <w:rPr>
          <w:rFonts w:ascii="Palatino Linotype" w:hAnsi="Palatino Linotype" w:cs="Arial"/>
        </w:rPr>
      </w:pPr>
    </w:p>
    <w:p w:rsidR="00335D9F" w:rsidRDefault="00335D9F" w:rsidP="007844E1">
      <w:pPr>
        <w:spacing w:before="100" w:beforeAutospacing="1" w:after="100" w:afterAutospacing="1" w:line="360" w:lineRule="auto"/>
        <w:jc w:val="both"/>
        <w:rPr>
          <w:rFonts w:ascii="Palatino Linotype" w:hAnsi="Palatino Linotype" w:cs="Arial"/>
        </w:rPr>
      </w:pPr>
    </w:p>
    <w:p w:rsidR="00E2264E" w:rsidRDefault="00E2264E" w:rsidP="007844E1">
      <w:pPr>
        <w:spacing w:before="100" w:beforeAutospacing="1" w:after="100" w:afterAutospacing="1" w:line="360" w:lineRule="auto"/>
        <w:jc w:val="both"/>
        <w:rPr>
          <w:rFonts w:ascii="Palatino Linotype" w:hAnsi="Palatino Linotype" w:cs="Arial"/>
        </w:rPr>
      </w:pPr>
    </w:p>
    <w:p w:rsidR="00335D9F" w:rsidRDefault="00335D9F" w:rsidP="007844E1">
      <w:pPr>
        <w:spacing w:before="100" w:beforeAutospacing="1" w:after="100" w:afterAutospacing="1" w:line="360" w:lineRule="auto"/>
        <w:jc w:val="both"/>
        <w:rPr>
          <w:rFonts w:ascii="Palatino Linotype" w:hAnsi="Palatino Linotype" w:cs="Arial"/>
        </w:rPr>
      </w:pPr>
    </w:p>
    <w:tbl>
      <w:tblPr>
        <w:tblW w:w="4393" w:type="dxa"/>
        <w:jc w:val="center"/>
        <w:tblLayout w:type="fixed"/>
        <w:tblLook w:val="04A0" w:firstRow="1" w:lastRow="0" w:firstColumn="1" w:lastColumn="0" w:noHBand="0" w:noVBand="1"/>
      </w:tblPr>
      <w:tblGrid>
        <w:gridCol w:w="4393"/>
      </w:tblGrid>
      <w:tr w:rsidR="007844E1" w:rsidRPr="001950C9" w:rsidTr="00274222">
        <w:trPr>
          <w:jc w:val="center"/>
        </w:trPr>
        <w:tc>
          <w:tcPr>
            <w:tcW w:w="4393" w:type="dxa"/>
          </w:tcPr>
          <w:p w:rsidR="007844E1" w:rsidRPr="001950C9" w:rsidRDefault="007844E1" w:rsidP="00274222">
            <w:pPr>
              <w:jc w:val="center"/>
              <w:rPr>
                <w:rFonts w:ascii="Palatino Linotype" w:hAnsi="Palatino Linotype"/>
                <w:b/>
              </w:rPr>
            </w:pPr>
            <w:r w:rsidRPr="001950C9">
              <w:rPr>
                <w:rFonts w:ascii="Palatino Linotype" w:hAnsi="Palatino Linotype"/>
                <w:b/>
              </w:rPr>
              <w:t>EVA ABAID YAPUR</w:t>
            </w:r>
          </w:p>
          <w:p w:rsidR="007844E1" w:rsidRDefault="007844E1" w:rsidP="00E2264E">
            <w:pPr>
              <w:jc w:val="center"/>
              <w:rPr>
                <w:rFonts w:ascii="Palatino Linotype" w:hAnsi="Palatino Linotype"/>
                <w:b/>
              </w:rPr>
            </w:pPr>
            <w:r w:rsidRPr="001950C9">
              <w:rPr>
                <w:rFonts w:ascii="Palatino Linotype" w:hAnsi="Palatino Linotype"/>
                <w:b/>
              </w:rPr>
              <w:t>COMISIONADA</w:t>
            </w:r>
          </w:p>
          <w:p w:rsidR="00836C5E" w:rsidRPr="001950C9" w:rsidRDefault="00836C5E" w:rsidP="00E2264E">
            <w:pPr>
              <w:jc w:val="center"/>
              <w:rPr>
                <w:rFonts w:ascii="Palatino Linotype" w:hAnsi="Palatino Linotype"/>
                <w:b/>
              </w:rPr>
            </w:pPr>
            <w:r>
              <w:rPr>
                <w:rFonts w:ascii="Palatino Linotype" w:hAnsi="Palatino Linotype"/>
                <w:b/>
              </w:rPr>
              <w:t>(RÚBRICA)</w:t>
            </w:r>
            <w:bookmarkStart w:id="0" w:name="_GoBack"/>
            <w:bookmarkEnd w:id="0"/>
          </w:p>
        </w:tc>
      </w:tr>
    </w:tbl>
    <w:p w:rsidR="007844E1" w:rsidRDefault="007844E1" w:rsidP="007844E1">
      <w:pPr>
        <w:jc w:val="both"/>
        <w:rPr>
          <w:rFonts w:ascii="Palatino Linotype" w:eastAsia="Calibri" w:hAnsi="Palatino Linotype" w:cs="Arial"/>
          <w:color w:val="000000" w:themeColor="text1"/>
          <w:sz w:val="20"/>
          <w:szCs w:val="20"/>
        </w:rPr>
      </w:pPr>
    </w:p>
    <w:p w:rsidR="00335D9F" w:rsidRDefault="00335D9F" w:rsidP="007844E1">
      <w:pPr>
        <w:jc w:val="both"/>
        <w:rPr>
          <w:rFonts w:ascii="Palatino Linotype" w:eastAsia="Calibri" w:hAnsi="Palatino Linotype" w:cs="Arial"/>
          <w:color w:val="000000" w:themeColor="text1"/>
          <w:sz w:val="20"/>
          <w:szCs w:val="20"/>
        </w:rPr>
      </w:pPr>
    </w:p>
    <w:p w:rsidR="00335D9F" w:rsidRDefault="00335D9F" w:rsidP="007844E1">
      <w:pPr>
        <w:jc w:val="both"/>
        <w:rPr>
          <w:rFonts w:ascii="Palatino Linotype" w:eastAsia="Calibri" w:hAnsi="Palatino Linotype" w:cs="Arial"/>
          <w:color w:val="000000" w:themeColor="text1"/>
          <w:sz w:val="20"/>
          <w:szCs w:val="20"/>
        </w:rPr>
      </w:pPr>
    </w:p>
    <w:p w:rsidR="00335D9F" w:rsidRDefault="00335D9F" w:rsidP="007844E1">
      <w:pPr>
        <w:jc w:val="both"/>
        <w:rPr>
          <w:rFonts w:ascii="Palatino Linotype" w:eastAsia="Calibri" w:hAnsi="Palatino Linotype" w:cs="Arial"/>
          <w:color w:val="000000" w:themeColor="text1"/>
          <w:sz w:val="20"/>
          <w:szCs w:val="20"/>
        </w:rPr>
      </w:pPr>
    </w:p>
    <w:p w:rsidR="00335D9F" w:rsidRDefault="00335D9F" w:rsidP="007844E1">
      <w:pPr>
        <w:jc w:val="both"/>
        <w:rPr>
          <w:rFonts w:ascii="Palatino Linotype" w:eastAsia="Calibri" w:hAnsi="Palatino Linotype" w:cs="Arial"/>
          <w:color w:val="000000" w:themeColor="text1"/>
          <w:sz w:val="20"/>
          <w:szCs w:val="20"/>
        </w:rPr>
      </w:pPr>
    </w:p>
    <w:p w:rsidR="00335D9F" w:rsidRDefault="00335D9F" w:rsidP="007844E1">
      <w:pPr>
        <w:jc w:val="both"/>
        <w:rPr>
          <w:rFonts w:ascii="Palatino Linotype" w:eastAsia="Calibri" w:hAnsi="Palatino Linotype" w:cs="Arial"/>
          <w:color w:val="000000" w:themeColor="text1"/>
          <w:sz w:val="20"/>
          <w:szCs w:val="20"/>
        </w:rPr>
      </w:pPr>
    </w:p>
    <w:p w:rsidR="00335D9F" w:rsidRDefault="00335D9F" w:rsidP="007844E1">
      <w:pPr>
        <w:jc w:val="both"/>
        <w:rPr>
          <w:rFonts w:ascii="Palatino Linotype" w:eastAsia="Calibri" w:hAnsi="Palatino Linotype" w:cs="Arial"/>
          <w:color w:val="000000" w:themeColor="text1"/>
          <w:sz w:val="20"/>
          <w:szCs w:val="20"/>
        </w:rPr>
      </w:pPr>
    </w:p>
    <w:p w:rsidR="00335D9F" w:rsidRDefault="00335D9F" w:rsidP="007844E1">
      <w:pPr>
        <w:jc w:val="both"/>
        <w:rPr>
          <w:rFonts w:ascii="Palatino Linotype" w:eastAsia="Calibri" w:hAnsi="Palatino Linotype" w:cs="Arial"/>
          <w:color w:val="000000" w:themeColor="text1"/>
          <w:sz w:val="20"/>
          <w:szCs w:val="20"/>
        </w:rPr>
      </w:pPr>
    </w:p>
    <w:p w:rsidR="007844E1" w:rsidRDefault="007844E1" w:rsidP="00E2264E">
      <w:pPr>
        <w:jc w:val="both"/>
        <w:rPr>
          <w:rFonts w:ascii="Palatino Linotype" w:eastAsia="Calibri" w:hAnsi="Palatino Linotype" w:cs="Arial"/>
          <w:color w:val="000000" w:themeColor="text1"/>
          <w:sz w:val="20"/>
          <w:szCs w:val="20"/>
        </w:rPr>
      </w:pPr>
      <w:r>
        <w:rPr>
          <w:rFonts w:ascii="Palatino Linotype" w:eastAsia="Calibri" w:hAnsi="Palatino Linotype" w:cs="Arial"/>
          <w:color w:val="000000" w:themeColor="text1"/>
          <w:sz w:val="20"/>
          <w:szCs w:val="20"/>
        </w:rPr>
        <w:t>Esta hoja corresponde a la opinión</w:t>
      </w:r>
      <w:r w:rsidRPr="001950C9">
        <w:rPr>
          <w:rFonts w:ascii="Palatino Linotype" w:eastAsia="Calibri" w:hAnsi="Palatino Linotype" w:cs="Arial"/>
          <w:color w:val="000000" w:themeColor="text1"/>
          <w:sz w:val="20"/>
          <w:szCs w:val="20"/>
        </w:rPr>
        <w:t xml:space="preserve"> particular emitid</w:t>
      </w:r>
      <w:r>
        <w:rPr>
          <w:rFonts w:ascii="Palatino Linotype" w:eastAsia="Calibri" w:hAnsi="Palatino Linotype" w:cs="Arial"/>
          <w:color w:val="000000" w:themeColor="text1"/>
          <w:sz w:val="20"/>
          <w:szCs w:val="20"/>
        </w:rPr>
        <w:t>a</w:t>
      </w:r>
      <w:r w:rsidRPr="001950C9">
        <w:rPr>
          <w:rFonts w:ascii="Palatino Linotype" w:eastAsia="Calibri" w:hAnsi="Palatino Linotype" w:cs="Arial"/>
          <w:color w:val="000000" w:themeColor="text1"/>
          <w:sz w:val="20"/>
          <w:szCs w:val="20"/>
        </w:rPr>
        <w:t xml:space="preserve"> en </w:t>
      </w:r>
      <w:r>
        <w:rPr>
          <w:rFonts w:ascii="Palatino Linotype" w:eastAsia="Calibri" w:hAnsi="Palatino Linotype" w:cs="Arial"/>
          <w:color w:val="000000" w:themeColor="text1"/>
          <w:sz w:val="20"/>
          <w:szCs w:val="20"/>
        </w:rPr>
        <w:t>la resolución d</w:t>
      </w:r>
      <w:r w:rsidRPr="001950C9">
        <w:rPr>
          <w:rFonts w:ascii="Palatino Linotype" w:eastAsia="Calibri" w:hAnsi="Palatino Linotype" w:cs="Arial"/>
          <w:color w:val="000000" w:themeColor="text1"/>
          <w:sz w:val="20"/>
          <w:szCs w:val="20"/>
        </w:rPr>
        <w:t>el recurso de revisión 0</w:t>
      </w:r>
      <w:r w:rsidR="00C7630F">
        <w:rPr>
          <w:rFonts w:ascii="Palatino Linotype" w:eastAsia="Calibri" w:hAnsi="Palatino Linotype" w:cs="Arial"/>
          <w:color w:val="000000" w:themeColor="text1"/>
          <w:sz w:val="20"/>
          <w:szCs w:val="20"/>
        </w:rPr>
        <w:t>3583</w:t>
      </w:r>
      <w:r w:rsidRPr="001950C9">
        <w:rPr>
          <w:rFonts w:ascii="Palatino Linotype" w:eastAsia="Calibri" w:hAnsi="Palatino Linotype" w:cs="Arial"/>
          <w:color w:val="000000" w:themeColor="text1"/>
          <w:sz w:val="20"/>
          <w:szCs w:val="20"/>
        </w:rPr>
        <w:t>/INFOEM/IP/RR/201</w:t>
      </w:r>
      <w:r>
        <w:rPr>
          <w:rFonts w:ascii="Palatino Linotype" w:eastAsia="Calibri" w:hAnsi="Palatino Linotype" w:cs="Arial"/>
          <w:color w:val="000000" w:themeColor="text1"/>
          <w:sz w:val="20"/>
          <w:szCs w:val="20"/>
        </w:rPr>
        <w:t>8, aprobada</w:t>
      </w:r>
      <w:r w:rsidRPr="001950C9">
        <w:rPr>
          <w:rFonts w:ascii="Palatino Linotype" w:eastAsia="Calibri" w:hAnsi="Palatino Linotype" w:cs="Arial"/>
          <w:color w:val="000000" w:themeColor="text1"/>
          <w:sz w:val="20"/>
          <w:szCs w:val="20"/>
        </w:rPr>
        <w:t xml:space="preserve"> el</w:t>
      </w:r>
      <w:r w:rsidR="00C7630F">
        <w:rPr>
          <w:rFonts w:ascii="Palatino Linotype" w:eastAsia="Calibri" w:hAnsi="Palatino Linotype" w:cs="Arial"/>
          <w:color w:val="000000" w:themeColor="text1"/>
          <w:sz w:val="20"/>
          <w:szCs w:val="20"/>
        </w:rPr>
        <w:t xml:space="preserve"> veintiocho de noviembre </w:t>
      </w:r>
      <w:r>
        <w:rPr>
          <w:rFonts w:ascii="Palatino Linotype" w:eastAsia="Calibri" w:hAnsi="Palatino Linotype" w:cs="Arial"/>
          <w:color w:val="000000" w:themeColor="text1"/>
          <w:sz w:val="20"/>
          <w:szCs w:val="20"/>
        </w:rPr>
        <w:t>de dos mil dieciocho</w:t>
      </w:r>
      <w:r w:rsidRPr="001950C9">
        <w:rPr>
          <w:rFonts w:ascii="Palatino Linotype" w:eastAsia="Calibri" w:hAnsi="Palatino Linotype" w:cs="Arial"/>
          <w:color w:val="000000" w:themeColor="text1"/>
          <w:sz w:val="20"/>
          <w:szCs w:val="20"/>
        </w:rPr>
        <w:t>.</w:t>
      </w:r>
      <w:r>
        <w:rPr>
          <w:rFonts w:ascii="Palatino Linotype" w:eastAsia="Calibri" w:hAnsi="Palatino Linotype" w:cs="Arial"/>
          <w:color w:val="000000" w:themeColor="text1"/>
          <w:sz w:val="20"/>
          <w:szCs w:val="20"/>
        </w:rPr>
        <w:t xml:space="preserve"> </w:t>
      </w:r>
    </w:p>
    <w:p w:rsidR="00E2264E" w:rsidRPr="00E2264E" w:rsidRDefault="00E2264E" w:rsidP="00E2264E">
      <w:pPr>
        <w:jc w:val="both"/>
        <w:rPr>
          <w:rFonts w:ascii="Palatino Linotype" w:eastAsia="Calibri" w:hAnsi="Palatino Linotype" w:cs="Arial"/>
          <w:color w:val="000000" w:themeColor="text1"/>
          <w:sz w:val="8"/>
          <w:szCs w:val="8"/>
        </w:rPr>
      </w:pPr>
    </w:p>
    <w:p w:rsidR="00C23B43" w:rsidRDefault="007844E1" w:rsidP="00E2264E">
      <w:pPr>
        <w:jc w:val="both"/>
      </w:pPr>
      <w:r w:rsidRPr="00C60EC0">
        <w:rPr>
          <w:rFonts w:ascii="Palatino Linotype" w:eastAsia="Calibri" w:hAnsi="Palatino Linotype" w:cs="Arial"/>
          <w:color w:val="000000" w:themeColor="text1"/>
          <w:sz w:val="18"/>
          <w:szCs w:val="18"/>
        </w:rPr>
        <w:t>YSM/A</w:t>
      </w:r>
      <w:r>
        <w:rPr>
          <w:rFonts w:ascii="Palatino Linotype" w:eastAsia="Calibri" w:hAnsi="Palatino Linotype" w:cs="Arial"/>
          <w:color w:val="000000" w:themeColor="text1"/>
          <w:sz w:val="18"/>
          <w:szCs w:val="18"/>
        </w:rPr>
        <w:t>MV</w:t>
      </w:r>
    </w:p>
    <w:sectPr w:rsidR="00C23B43" w:rsidSect="00017A8B">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518C" w:rsidRDefault="0070518C" w:rsidP="007844E1">
      <w:r>
        <w:separator/>
      </w:r>
    </w:p>
  </w:endnote>
  <w:endnote w:type="continuationSeparator" w:id="0">
    <w:p w:rsidR="0070518C" w:rsidRDefault="0070518C" w:rsidP="00784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836C5E" w:rsidP="00DC5C4E">
    <w:pPr>
      <w:pStyle w:val="Piedepgina"/>
      <w:tabs>
        <w:tab w:val="clear" w:pos="4252"/>
        <w:tab w:val="left" w:pos="4228"/>
      </w:tabs>
      <w:rPr>
        <w:rFonts w:ascii="Palatino Linotype" w:hAnsi="Palatino Linotype" w:cs="Arial"/>
        <w:b/>
        <w:bCs/>
        <w:sz w:val="20"/>
        <w:szCs w:val="20"/>
      </w:rPr>
    </w:pPr>
  </w:p>
  <w:p w:rsidR="00D7260E" w:rsidRDefault="00836C5E" w:rsidP="00DC5C4E">
    <w:pPr>
      <w:pStyle w:val="Piedepgina"/>
      <w:tabs>
        <w:tab w:val="clear" w:pos="4252"/>
        <w:tab w:val="left" w:pos="4228"/>
      </w:tabs>
      <w:rPr>
        <w:rFonts w:ascii="Palatino Linotype" w:hAnsi="Palatino Linotype" w:cs="Arial"/>
        <w:b/>
        <w:bCs/>
        <w:sz w:val="20"/>
        <w:szCs w:val="20"/>
      </w:rPr>
    </w:pPr>
  </w:p>
  <w:p w:rsidR="005C7C8F" w:rsidRDefault="00836C5E" w:rsidP="00DC5C4E">
    <w:pPr>
      <w:pStyle w:val="Piedepgina"/>
      <w:tabs>
        <w:tab w:val="clear" w:pos="4252"/>
        <w:tab w:val="left" w:pos="4228"/>
      </w:tabs>
      <w:rPr>
        <w:rFonts w:ascii="Palatino Linotype" w:hAnsi="Palatino Linotype" w:cs="Arial"/>
        <w:b/>
        <w:bCs/>
        <w:sz w:val="20"/>
        <w:szCs w:val="20"/>
      </w:rPr>
    </w:pPr>
  </w:p>
  <w:p w:rsidR="005C7C8F" w:rsidRDefault="00836C5E" w:rsidP="00DC5C4E">
    <w:pPr>
      <w:pStyle w:val="Piedepgina"/>
      <w:tabs>
        <w:tab w:val="clear" w:pos="4252"/>
        <w:tab w:val="left" w:pos="4228"/>
      </w:tabs>
      <w:rPr>
        <w:rFonts w:ascii="Palatino Linotype" w:hAnsi="Palatino Linotype" w:cs="Arial"/>
        <w:b/>
        <w:bCs/>
        <w:sz w:val="20"/>
        <w:szCs w:val="20"/>
      </w:rPr>
    </w:pPr>
  </w:p>
  <w:p w:rsidR="005C7C8F" w:rsidRDefault="00836C5E" w:rsidP="00DC5C4E">
    <w:pPr>
      <w:pStyle w:val="Piedepgina"/>
      <w:rPr>
        <w:rFonts w:ascii="Palatino Linotype" w:hAnsi="Palatino Linotype" w:cs="Arial"/>
        <w:b/>
        <w:bCs/>
        <w:sz w:val="20"/>
        <w:szCs w:val="20"/>
      </w:rPr>
    </w:pPr>
  </w:p>
  <w:p w:rsidR="005C7C8F" w:rsidRPr="00F12350" w:rsidRDefault="00CF355D"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836C5E">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836C5E">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p>
  <w:p w:rsidR="005C7C8F" w:rsidRDefault="00836C5E"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518C" w:rsidRDefault="0070518C" w:rsidP="007844E1">
      <w:r>
        <w:separator/>
      </w:r>
    </w:p>
  </w:footnote>
  <w:footnote w:type="continuationSeparator" w:id="0">
    <w:p w:rsidR="0070518C" w:rsidRDefault="0070518C" w:rsidP="007844E1">
      <w:r>
        <w:continuationSeparator/>
      </w:r>
    </w:p>
  </w:footnote>
  <w:footnote w:id="1">
    <w:p w:rsidR="006E55FE" w:rsidRPr="006E55FE" w:rsidRDefault="006E55FE">
      <w:pPr>
        <w:pStyle w:val="Textonotapie"/>
        <w:rPr>
          <w:sz w:val="16"/>
          <w:szCs w:val="16"/>
          <w:lang w:val="es-MX"/>
        </w:rPr>
      </w:pPr>
      <w:r w:rsidRPr="006E55FE">
        <w:rPr>
          <w:rStyle w:val="Refdenotaalpie"/>
          <w:sz w:val="16"/>
          <w:szCs w:val="16"/>
        </w:rPr>
        <w:footnoteRef/>
      </w:r>
      <w:r w:rsidRPr="006E55FE">
        <w:rPr>
          <w:sz w:val="16"/>
          <w:szCs w:val="16"/>
        </w:rPr>
        <w:t xml:space="preserve"> </w:t>
      </w:r>
      <w:r w:rsidRPr="006E55FE">
        <w:rPr>
          <w:rFonts w:ascii="Palatino Linotype" w:hAnsi="Palatino Linotype" w:cs="Arial"/>
          <w:sz w:val="16"/>
          <w:szCs w:val="16"/>
        </w:rPr>
        <w:t>Instituto de Seguridad Social del Estado de México y Municipios</w:t>
      </w:r>
      <w:r>
        <w:rPr>
          <w:rFonts w:ascii="Palatino Linotype" w:hAnsi="Palatino Linotype" w:cs="Arial"/>
          <w:sz w:val="16"/>
          <w:szCs w:val="16"/>
        </w:rPr>
        <w:t>.</w:t>
      </w:r>
    </w:p>
  </w:footnote>
  <w:footnote w:id="2">
    <w:p w:rsidR="00335D9F" w:rsidRPr="00335D9F" w:rsidRDefault="00335D9F">
      <w:pPr>
        <w:pStyle w:val="Textonotapie"/>
        <w:rPr>
          <w:rFonts w:ascii="Palatino Linotype" w:hAnsi="Palatino Linotype"/>
          <w:b/>
          <w:sz w:val="16"/>
          <w:szCs w:val="16"/>
        </w:rPr>
      </w:pPr>
      <w:r>
        <w:rPr>
          <w:rStyle w:val="Refdenotaalpie"/>
        </w:rPr>
        <w:footnoteRef/>
      </w:r>
      <w:r>
        <w:t xml:space="preserve"> </w:t>
      </w:r>
      <w:r w:rsidRPr="00335D9F">
        <w:rPr>
          <w:rFonts w:ascii="Palatino Linotype" w:hAnsi="Palatino Linotype"/>
          <w:sz w:val="16"/>
          <w:szCs w:val="16"/>
        </w:rPr>
        <w:t xml:space="preserve">ARTÍCULO 89. </w:t>
      </w:r>
      <w:r w:rsidRPr="00335D9F">
        <w:rPr>
          <w:rFonts w:ascii="Palatino Linotype" w:hAnsi="Palatino Linotype"/>
          <w:b/>
          <w:sz w:val="16"/>
          <w:szCs w:val="16"/>
        </w:rPr>
        <w:t>Son causas de terminación de la relación laboral sin responsabilidad para las instituciones públicas:</w:t>
      </w:r>
    </w:p>
    <w:p w:rsidR="00335D9F" w:rsidRPr="00335D9F" w:rsidRDefault="00335D9F">
      <w:pPr>
        <w:pStyle w:val="Textonotapie"/>
        <w:rPr>
          <w:rFonts w:ascii="Palatino Linotype" w:hAnsi="Palatino Linotype"/>
          <w:b/>
          <w:sz w:val="16"/>
          <w:szCs w:val="16"/>
        </w:rPr>
      </w:pPr>
      <w:r w:rsidRPr="00335D9F">
        <w:rPr>
          <w:rFonts w:ascii="Palatino Linotype" w:hAnsi="Palatino Linotype"/>
          <w:b/>
          <w:sz w:val="16"/>
          <w:szCs w:val="16"/>
        </w:rPr>
        <w:t xml:space="preserve">I. La renuncia del servidor público; </w:t>
      </w:r>
    </w:p>
    <w:p w:rsidR="00335D9F" w:rsidRPr="00335D9F" w:rsidRDefault="00335D9F">
      <w:pPr>
        <w:pStyle w:val="Textonotapie"/>
        <w:rPr>
          <w:rFonts w:ascii="Palatino Linotype" w:hAnsi="Palatino Linotype"/>
          <w:sz w:val="16"/>
          <w:szCs w:val="16"/>
        </w:rPr>
      </w:pPr>
      <w:r w:rsidRPr="00335D9F">
        <w:rPr>
          <w:rFonts w:ascii="Palatino Linotype" w:hAnsi="Palatino Linotype"/>
          <w:sz w:val="16"/>
          <w:szCs w:val="16"/>
        </w:rPr>
        <w:t xml:space="preserve">II. El mutuo consentimiento de las partes; </w:t>
      </w:r>
    </w:p>
    <w:p w:rsidR="00335D9F" w:rsidRPr="00335D9F" w:rsidRDefault="00335D9F">
      <w:pPr>
        <w:pStyle w:val="Textonotapie"/>
        <w:rPr>
          <w:rFonts w:ascii="Palatino Linotype" w:hAnsi="Palatino Linotype"/>
          <w:sz w:val="16"/>
          <w:szCs w:val="16"/>
        </w:rPr>
      </w:pPr>
      <w:r w:rsidRPr="00335D9F">
        <w:rPr>
          <w:rFonts w:ascii="Palatino Linotype" w:hAnsi="Palatino Linotype"/>
          <w:sz w:val="16"/>
          <w:szCs w:val="16"/>
        </w:rPr>
        <w:t xml:space="preserve">III. El vencimiento del término o conclusión de la obra determinantes de la contratación; </w:t>
      </w:r>
    </w:p>
    <w:p w:rsidR="00335D9F" w:rsidRPr="00335D9F" w:rsidRDefault="00335D9F">
      <w:pPr>
        <w:pStyle w:val="Textonotapie"/>
        <w:rPr>
          <w:rFonts w:ascii="Palatino Linotype" w:hAnsi="Palatino Linotype"/>
          <w:sz w:val="16"/>
          <w:szCs w:val="16"/>
        </w:rPr>
      </w:pPr>
      <w:r w:rsidRPr="00335D9F">
        <w:rPr>
          <w:rFonts w:ascii="Palatino Linotype" w:hAnsi="Palatino Linotype"/>
          <w:sz w:val="16"/>
          <w:szCs w:val="16"/>
        </w:rPr>
        <w:t xml:space="preserve">IV. El término o conclusión de la administración en la cual fue contratado el servidor público a que se refiere el artículo 8 de ésta Ley; </w:t>
      </w:r>
    </w:p>
    <w:p w:rsidR="00335D9F" w:rsidRPr="00335D9F" w:rsidRDefault="00335D9F">
      <w:pPr>
        <w:pStyle w:val="Textonotapie"/>
        <w:rPr>
          <w:rFonts w:ascii="Palatino Linotype" w:hAnsi="Palatino Linotype"/>
          <w:sz w:val="16"/>
          <w:szCs w:val="16"/>
        </w:rPr>
      </w:pPr>
      <w:r w:rsidRPr="00335D9F">
        <w:rPr>
          <w:rFonts w:ascii="Palatino Linotype" w:hAnsi="Palatino Linotype"/>
          <w:sz w:val="16"/>
          <w:szCs w:val="16"/>
        </w:rPr>
        <w:t>V. La muerte del servidor público; y</w:t>
      </w:r>
    </w:p>
    <w:p w:rsidR="00335D9F" w:rsidRPr="00335D9F" w:rsidRDefault="00335D9F">
      <w:pPr>
        <w:pStyle w:val="Textonotapie"/>
        <w:rPr>
          <w:rFonts w:ascii="Palatino Linotype" w:hAnsi="Palatino Linotype"/>
          <w:sz w:val="16"/>
          <w:szCs w:val="16"/>
          <w:lang w:val="es-MX"/>
        </w:rPr>
      </w:pPr>
      <w:r w:rsidRPr="00335D9F">
        <w:rPr>
          <w:rFonts w:ascii="Palatino Linotype" w:hAnsi="Palatino Linotype"/>
          <w:sz w:val="16"/>
          <w:szCs w:val="16"/>
        </w:rPr>
        <w:t>VI. La incapacidad permanente del servidor público que le impida el desempeño de sus labores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836C5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829" w:rsidRDefault="00CF355D"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9264" behindDoc="1" locked="0" layoutInCell="1" allowOverlap="1" wp14:anchorId="3C4D90D5" wp14:editId="06BA19B8">
          <wp:simplePos x="0" y="0"/>
          <wp:positionH relativeFrom="column">
            <wp:posOffset>-695435</wp:posOffset>
          </wp:positionH>
          <wp:positionV relativeFrom="paragraph">
            <wp:posOffset>-449746</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p>
  <w:p w:rsidR="005C7C8F" w:rsidRDefault="00836C5E" w:rsidP="00DC5C4E">
    <w:pPr>
      <w:pStyle w:val="Encabezado"/>
      <w:tabs>
        <w:tab w:val="clear" w:pos="4252"/>
        <w:tab w:val="clear" w:pos="8504"/>
        <w:tab w:val="left" w:pos="2326"/>
      </w:tabs>
      <w:jc w:val="right"/>
    </w:pPr>
  </w:p>
  <w:p w:rsidR="005C7C8F" w:rsidRDefault="00CF355D" w:rsidP="00DC5C4E">
    <w:pPr>
      <w:pStyle w:val="Encabezado"/>
      <w:tabs>
        <w:tab w:val="clear" w:pos="4252"/>
        <w:tab w:val="clear" w:pos="8504"/>
        <w:tab w:val="left" w:pos="2326"/>
      </w:tabs>
      <w:jc w:val="right"/>
      <w:rPr>
        <w:rFonts w:ascii="Palatino Linotype" w:hAnsi="Palatino Linotype"/>
      </w:rPr>
    </w:pPr>
    <w:r>
      <w:rPr>
        <w:rFonts w:ascii="Palatino Linotype" w:hAnsi="Palatino Linotype" w:cs="Arial"/>
        <w:sz w:val="20"/>
        <w:szCs w:val="20"/>
      </w:rPr>
      <w:t>OPINIÓN</w:t>
    </w:r>
    <w:r w:rsidRPr="006F01F2">
      <w:rPr>
        <w:rFonts w:ascii="Palatino Linotype" w:hAnsi="Palatino Linotype" w:cs="Arial"/>
        <w:sz w:val="20"/>
        <w:szCs w:val="20"/>
      </w:rPr>
      <w:t xml:space="preserve"> PARTICULAR</w:t>
    </w:r>
  </w:p>
  <w:p w:rsidR="005C7C8F" w:rsidRDefault="00CF355D" w:rsidP="00DC5C4E">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sidR="007844E1">
      <w:rPr>
        <w:rFonts w:ascii="Palatino Linotype" w:hAnsi="Palatino Linotype" w:cs="Arial"/>
        <w:sz w:val="20"/>
        <w:szCs w:val="20"/>
      </w:rPr>
      <w:t>03583</w:t>
    </w:r>
    <w:r>
      <w:rPr>
        <w:rFonts w:ascii="Palatino Linotype" w:hAnsi="Palatino Linotype" w:cs="Arial"/>
        <w:sz w:val="20"/>
        <w:szCs w:val="20"/>
      </w:rPr>
      <w:t>/INFOEM/IP</w:t>
    </w:r>
    <w:r w:rsidRPr="00706042">
      <w:rPr>
        <w:rFonts w:ascii="Palatino Linotype" w:hAnsi="Palatino Linotype" w:cs="Arial"/>
        <w:sz w:val="20"/>
        <w:szCs w:val="20"/>
      </w:rPr>
      <w:t>/RR/201</w:t>
    </w:r>
    <w:r>
      <w:rPr>
        <w:rFonts w:ascii="Palatino Linotype" w:hAnsi="Palatino Linotype" w:cs="Arial"/>
        <w:sz w:val="20"/>
        <w:szCs w:val="20"/>
      </w:rPr>
      <w:t>8</w:t>
    </w:r>
  </w:p>
  <w:p w:rsidR="002E3829" w:rsidRDefault="00836C5E" w:rsidP="00DC5C4E">
    <w:pPr>
      <w:pStyle w:val="Encabezado"/>
      <w:tabs>
        <w:tab w:val="clear" w:pos="4252"/>
        <w:tab w:val="clear" w:pos="8504"/>
        <w:tab w:val="left" w:pos="2326"/>
      </w:tabs>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81pt;rotation:315;z-index:-251655168;mso-position-horizontal:center;mso-position-horizontal-relative:margin;mso-position-vertical:center;mso-position-vertical-relative:margin" o:allowincell="f" fillcolor="#bfbfbf [2412]" stroked="f">
          <v:fill opacity=".5"/>
          <v:textpath style="font-family:&quot;Palatino Linotype&quot;;font-size:1pt" string="OPINIÓN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836C5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F5329"/>
    <w:multiLevelType w:val="hybridMultilevel"/>
    <w:tmpl w:val="1660DE78"/>
    <w:lvl w:ilvl="0" w:tplc="20A01E06">
      <w:start w:val="1"/>
      <w:numFmt w:val="decimal"/>
      <w:lvlText w:val="%1."/>
      <w:lvlJc w:val="left"/>
      <w:pPr>
        <w:ind w:left="644" w:hanging="360"/>
      </w:pPr>
      <w:rPr>
        <w:rFonts w:ascii="Palatino Linotype" w:eastAsia="Times New Roman" w:hAnsi="Palatino Linotype" w:cs="Arial"/>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
    <w:nsid w:val="34317490"/>
    <w:multiLevelType w:val="hybridMultilevel"/>
    <w:tmpl w:val="B810EB24"/>
    <w:lvl w:ilvl="0" w:tplc="5024074C">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792B42BB"/>
    <w:multiLevelType w:val="hybridMultilevel"/>
    <w:tmpl w:val="29C6D890"/>
    <w:lvl w:ilvl="0" w:tplc="294A887A">
      <w:start w:val="1"/>
      <w:numFmt w:val="lowerLetter"/>
      <w:lvlText w:val="%1)"/>
      <w:lvlJc w:val="left"/>
      <w:pPr>
        <w:ind w:left="720" w:hanging="360"/>
      </w:pPr>
      <w:rPr>
        <w:rFonts w:eastAsia="MS Mincho" w:cs="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4E1"/>
    <w:rsid w:val="002644AE"/>
    <w:rsid w:val="002767E6"/>
    <w:rsid w:val="00335D9F"/>
    <w:rsid w:val="004E456A"/>
    <w:rsid w:val="006E55FE"/>
    <w:rsid w:val="0070518C"/>
    <w:rsid w:val="007844E1"/>
    <w:rsid w:val="00836C5E"/>
    <w:rsid w:val="008F261E"/>
    <w:rsid w:val="00BD5D1B"/>
    <w:rsid w:val="00C23B43"/>
    <w:rsid w:val="00C7630F"/>
    <w:rsid w:val="00C9714C"/>
    <w:rsid w:val="00CC6712"/>
    <w:rsid w:val="00CF355D"/>
    <w:rsid w:val="00E2264E"/>
    <w:rsid w:val="00F132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462D860-4958-4F5A-A14D-EF4FF28A0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44E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844E1"/>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7844E1"/>
    <w:rPr>
      <w:rFonts w:eastAsiaTheme="minorEastAsia"/>
      <w:sz w:val="24"/>
      <w:szCs w:val="24"/>
      <w:lang w:val="es-ES_tradnl" w:eastAsia="es-ES"/>
    </w:rPr>
  </w:style>
  <w:style w:type="paragraph" w:styleId="Piedepgina">
    <w:name w:val="footer"/>
    <w:basedOn w:val="Normal"/>
    <w:link w:val="PiedepginaCar"/>
    <w:uiPriority w:val="99"/>
    <w:unhideWhenUsed/>
    <w:rsid w:val="007844E1"/>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7844E1"/>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844E1"/>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844E1"/>
    <w:rPr>
      <w:rFonts w:ascii="Times New Roman" w:eastAsia="Times New Roman" w:hAnsi="Times New Roman" w:cs="Times New Roman"/>
      <w:sz w:val="24"/>
      <w:szCs w:val="24"/>
      <w:lang w:val="es-ES" w:eastAsia="es-ES"/>
    </w:rPr>
  </w:style>
  <w:style w:type="paragraph" w:styleId="Textonotapie">
    <w:name w:val="footnote text"/>
    <w:basedOn w:val="Normal"/>
    <w:link w:val="TextonotapieCar"/>
    <w:uiPriority w:val="99"/>
    <w:semiHidden/>
    <w:unhideWhenUsed/>
    <w:rsid w:val="006E55FE"/>
    <w:rPr>
      <w:sz w:val="20"/>
      <w:szCs w:val="20"/>
    </w:rPr>
  </w:style>
  <w:style w:type="character" w:customStyle="1" w:styleId="TextonotapieCar">
    <w:name w:val="Texto nota pie Car"/>
    <w:basedOn w:val="Fuentedeprrafopredeter"/>
    <w:link w:val="Textonotapie"/>
    <w:uiPriority w:val="99"/>
    <w:semiHidden/>
    <w:rsid w:val="006E55FE"/>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6E55FE"/>
    <w:rPr>
      <w:vertAlign w:val="superscript"/>
    </w:rPr>
  </w:style>
  <w:style w:type="paragraph" w:styleId="Textodeglobo">
    <w:name w:val="Balloon Text"/>
    <w:basedOn w:val="Normal"/>
    <w:link w:val="TextodegloboCar"/>
    <w:uiPriority w:val="99"/>
    <w:semiHidden/>
    <w:unhideWhenUsed/>
    <w:rsid w:val="00C7630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7630F"/>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D4B74-1A2D-4592-8CAE-D26482120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7</Pages>
  <Words>1640</Words>
  <Characters>9020</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2018-11-30T21:20:00Z</cp:lastPrinted>
  <dcterms:created xsi:type="dcterms:W3CDTF">2018-11-30T18:17:00Z</dcterms:created>
  <dcterms:modified xsi:type="dcterms:W3CDTF">2019-01-11T03:17:00Z</dcterms:modified>
</cp:coreProperties>
</file>